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F2363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F23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468C3" w:rsidRPr="009F2363" w:rsidRDefault="00F468C3" w:rsidP="00F468C3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F468C3" w:rsidRPr="009F2363" w:rsidRDefault="00F468C3" w:rsidP="00F468C3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F468C3" w:rsidRPr="009F2363" w:rsidRDefault="00F468C3" w:rsidP="00F468C3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9F2363" w:rsidRDefault="00F7182C" w:rsidP="00F468C3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>31.10.2018</w:t>
      </w:r>
      <w:r w:rsidR="00F468C3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>4240-ПА</w:t>
      </w:r>
    </w:p>
    <w:p w:rsidR="00F468C3" w:rsidRPr="009F2363" w:rsidRDefault="00F468C3" w:rsidP="00F46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68C3" w:rsidRPr="009F2363" w:rsidRDefault="00F468C3" w:rsidP="00CB6D9E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 Люберцы от 29.06.2018 № 2516-ПА «Об утверждении  платы за содержание жилых помещений на территории городского округа Люберцы»</w:t>
      </w:r>
    </w:p>
    <w:p w:rsidR="00F468C3" w:rsidRPr="009F2363" w:rsidRDefault="00F468C3" w:rsidP="00F468C3">
      <w:pPr>
        <w:autoSpaceDE w:val="0"/>
        <w:autoSpaceDN w:val="0"/>
        <w:adjustRightInd w:val="0"/>
        <w:spacing w:after="0"/>
        <w:ind w:left="284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9F2363" w:rsidRDefault="00F468C3" w:rsidP="00521A40">
      <w:pPr>
        <w:autoSpaceDE w:val="0"/>
        <w:autoSpaceDN w:val="0"/>
        <w:adjustRightInd w:val="0"/>
        <w:spacing w:after="0"/>
        <w:ind w:right="-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06.10.2003 №131-ФЗ</w:t>
      </w:r>
      <w:r w:rsidR="00B70F92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городского</w:t>
      </w:r>
      <w:proofErr w:type="gramEnd"/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Люберцы, Распоряжением администрации городского округа Люберцы от 21.06.2017 № 2-РА «О наделении полномочиями заместителя Главы администрации  </w:t>
      </w:r>
      <w:proofErr w:type="spell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А.Н.» постановляю: </w:t>
      </w:r>
    </w:p>
    <w:p w:rsidR="00F468C3" w:rsidRPr="009F2363" w:rsidRDefault="00F468C3" w:rsidP="00F468C3">
      <w:pPr>
        <w:autoSpaceDE w:val="0"/>
        <w:autoSpaceDN w:val="0"/>
        <w:adjustRightInd w:val="0"/>
        <w:spacing w:after="0"/>
        <w:ind w:left="284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F92" w:rsidRPr="009F2363" w:rsidRDefault="00F468C3" w:rsidP="00A03467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B191D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>Приложения № 1-5 Постановления администрации городского округа  Люберцы от 29.06.2018 № 2516-ПА «Об утверждении платы за содержание жилых помещений на территории городского округа  Люберцы»  изложить в редакции согласно приложению  к настоящему Постановлению.</w:t>
      </w:r>
    </w:p>
    <w:p w:rsidR="00F468C3" w:rsidRPr="009F2363" w:rsidRDefault="00B70F92" w:rsidP="00A03467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468C3" w:rsidRPr="009F236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468C3" w:rsidRPr="009F2363" w:rsidRDefault="00B70F92" w:rsidP="00521A40">
      <w:pPr>
        <w:spacing w:after="0"/>
        <w:ind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468C3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 01.01.2019. </w:t>
      </w:r>
    </w:p>
    <w:p w:rsidR="00F468C3" w:rsidRPr="009F2363" w:rsidRDefault="00F468C3" w:rsidP="00521A40">
      <w:pPr>
        <w:spacing w:after="0"/>
        <w:ind w:right="-2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70F92" w:rsidRPr="009F23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F468C3" w:rsidRPr="009F2363" w:rsidRDefault="00F468C3" w:rsidP="00F468C3">
      <w:pPr>
        <w:tabs>
          <w:tab w:val="left" w:pos="0"/>
        </w:tabs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9F2363" w:rsidRDefault="00F468C3" w:rsidP="00F468C3">
      <w:pPr>
        <w:spacing w:after="0" w:line="240" w:lineRule="auto"/>
        <w:ind w:left="284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468C3" w:rsidRPr="009F2363" w:rsidRDefault="00F468C3" w:rsidP="00F468C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68C3" w:rsidRPr="009F2363" w:rsidRDefault="00F468C3" w:rsidP="00F468C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  </w:t>
      </w:r>
      <w:r w:rsidR="00B70F92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А.Н. Сыров</w:t>
      </w:r>
    </w:p>
    <w:p w:rsidR="00F468C3" w:rsidRPr="009F2363" w:rsidRDefault="00F468C3" w:rsidP="00F468C3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D7F" w:rsidRPr="009F2363" w:rsidRDefault="00362D7F" w:rsidP="005A1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62D7F" w:rsidRPr="009F2363" w:rsidSect="00B70F92">
          <w:pgSz w:w="11906" w:h="16838"/>
          <w:pgMar w:top="1134" w:right="851" w:bottom="993" w:left="1418" w:header="709" w:footer="709" w:gutter="0"/>
          <w:cols w:space="708"/>
          <w:docGrid w:linePitch="381"/>
        </w:sectPr>
      </w:pPr>
    </w:p>
    <w:p w:rsidR="00492C58" w:rsidRPr="009F2363" w:rsidRDefault="00492C58" w:rsidP="00492C58">
      <w:pPr>
        <w:tabs>
          <w:tab w:val="left" w:pos="5954"/>
        </w:tabs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 администрации городского округа   Люберцы                                                                                  от </w:t>
      </w:r>
      <w:r w:rsidR="00F7182C"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31.10.2018 </w:t>
      </w: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7182C" w:rsidRPr="009F2363">
        <w:rPr>
          <w:rFonts w:ascii="Arial" w:eastAsia="Times New Roman" w:hAnsi="Arial" w:cs="Arial"/>
          <w:sz w:val="24"/>
          <w:szCs w:val="24"/>
          <w:lang w:eastAsia="ru-RU"/>
        </w:rPr>
        <w:t>4240-ПА</w:t>
      </w:r>
    </w:p>
    <w:p w:rsidR="00492C58" w:rsidRPr="009F2363" w:rsidRDefault="00492C58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5A151B" w:rsidRPr="009F2363" w:rsidRDefault="005A151B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Приложение № 1                                                                                   к Постановлению  </w:t>
      </w:r>
      <w:r w:rsidR="00977620" w:rsidRPr="009F2363">
        <w:rPr>
          <w:rFonts w:ascii="Arial" w:hAnsi="Arial" w:cs="Arial"/>
          <w:sz w:val="24"/>
          <w:szCs w:val="24"/>
        </w:rPr>
        <w:t>а</w:t>
      </w:r>
      <w:r w:rsidRPr="009F2363">
        <w:rPr>
          <w:rFonts w:ascii="Arial" w:hAnsi="Arial" w:cs="Arial"/>
          <w:sz w:val="24"/>
          <w:szCs w:val="24"/>
        </w:rPr>
        <w:t xml:space="preserve">дминистрации       городского округа   Люберцы                                                                                  от  </w:t>
      </w:r>
      <w:r w:rsidR="00977620" w:rsidRPr="009F2363">
        <w:rPr>
          <w:rFonts w:ascii="Arial" w:hAnsi="Arial" w:cs="Arial"/>
          <w:sz w:val="24"/>
          <w:szCs w:val="24"/>
        </w:rPr>
        <w:t xml:space="preserve">29.06.2018  </w:t>
      </w:r>
      <w:r w:rsidRPr="009F2363">
        <w:rPr>
          <w:rFonts w:ascii="Arial" w:hAnsi="Arial" w:cs="Arial"/>
          <w:sz w:val="24"/>
          <w:szCs w:val="24"/>
        </w:rPr>
        <w:t xml:space="preserve">№  </w:t>
      </w:r>
      <w:r w:rsidR="00977620" w:rsidRPr="009F2363">
        <w:rPr>
          <w:rFonts w:ascii="Arial" w:hAnsi="Arial" w:cs="Arial"/>
          <w:sz w:val="24"/>
          <w:szCs w:val="24"/>
        </w:rPr>
        <w:t>2516-ПА</w:t>
      </w:r>
    </w:p>
    <w:p w:rsidR="00977620" w:rsidRPr="009F2363" w:rsidRDefault="00977620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5A151B" w:rsidRPr="009F2363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F2363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или договорам найма жилых помещений государственного</w:t>
      </w:r>
    </w:p>
    <w:p w:rsidR="005A151B" w:rsidRPr="009F2363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или муниципального жилищного фонда на территории городского округа Люберцы (для города Люберцы, рабочего поселка </w:t>
      </w:r>
      <w:proofErr w:type="spellStart"/>
      <w:r w:rsidRPr="009F2363">
        <w:rPr>
          <w:rFonts w:ascii="Arial" w:hAnsi="Arial" w:cs="Arial"/>
          <w:sz w:val="24"/>
          <w:szCs w:val="24"/>
        </w:rPr>
        <w:t>Томилино</w:t>
      </w:r>
      <w:proofErr w:type="spellEnd"/>
      <w:r w:rsidR="00E4263B" w:rsidRPr="009F2363">
        <w:rPr>
          <w:rFonts w:ascii="Arial" w:hAnsi="Arial" w:cs="Arial"/>
          <w:sz w:val="24"/>
          <w:szCs w:val="24"/>
        </w:rPr>
        <w:t xml:space="preserve">, </w:t>
      </w:r>
      <w:r w:rsidR="00643874" w:rsidRPr="009F2363">
        <w:rPr>
          <w:rFonts w:ascii="Arial" w:hAnsi="Arial" w:cs="Arial"/>
          <w:sz w:val="24"/>
          <w:szCs w:val="24"/>
        </w:rPr>
        <w:t xml:space="preserve">за исключением домов, указанных в </w:t>
      </w:r>
      <w:r w:rsidR="00E4263B" w:rsidRPr="009F2363">
        <w:rPr>
          <w:rFonts w:ascii="Arial" w:hAnsi="Arial" w:cs="Arial"/>
          <w:sz w:val="24"/>
          <w:szCs w:val="24"/>
        </w:rPr>
        <w:t xml:space="preserve"> Приложении №5 Постановления</w:t>
      </w:r>
      <w:r w:rsidRPr="009F2363">
        <w:rPr>
          <w:rFonts w:ascii="Arial" w:hAnsi="Arial" w:cs="Arial"/>
          <w:sz w:val="24"/>
          <w:szCs w:val="24"/>
        </w:rPr>
        <w:t>)</w:t>
      </w:r>
    </w:p>
    <w:p w:rsidR="005A151B" w:rsidRPr="009F2363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(в рублях за 1кв.м. общей площади,  включая НДС</w:t>
      </w:r>
      <w:r w:rsidR="00E4263B" w:rsidRPr="009F2363">
        <w:rPr>
          <w:rFonts w:ascii="Arial" w:hAnsi="Arial" w:cs="Arial"/>
          <w:sz w:val="24"/>
          <w:szCs w:val="24"/>
        </w:rPr>
        <w:t>-20%</w:t>
      </w:r>
      <w:r w:rsidRPr="009F2363">
        <w:rPr>
          <w:rFonts w:ascii="Arial" w:hAnsi="Arial" w:cs="Arial"/>
          <w:sz w:val="24"/>
          <w:szCs w:val="24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5A151B" w:rsidRPr="009F2363" w:rsidTr="009F2363">
        <w:trPr>
          <w:trHeight w:val="4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151B" w:rsidRPr="009F2363" w:rsidTr="005431D2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5A151B" w:rsidRPr="009F2363" w:rsidTr="005431D2">
        <w:trPr>
          <w:cantSplit/>
          <w:trHeight w:val="53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1B5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5A151B" w:rsidRPr="009F2363" w:rsidRDefault="005A151B" w:rsidP="001B5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BC4039" w:rsidRPr="009F2363" w:rsidRDefault="00BC403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BC4039" w:rsidRPr="009F2363" w:rsidRDefault="00BC403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E1" w:rsidRPr="009F2363" w:rsidTr="005431D2">
        <w:trPr>
          <w:cantSplit/>
          <w:trHeight w:val="300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1B5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Отведение поверхностных сточных вод</w:t>
            </w:r>
          </w:p>
          <w:p w:rsidR="005B26E1" w:rsidRPr="009F2363" w:rsidRDefault="005B26E1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26E1" w:rsidRPr="009F2363" w:rsidRDefault="005B26E1" w:rsidP="000C5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6E1" w:rsidRPr="009F2363" w:rsidRDefault="005B26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039" w:rsidRPr="009F2363" w:rsidTr="00E62585">
        <w:trPr>
          <w:trHeight w:val="26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</w:t>
            </w:r>
            <w:r w:rsidR="0065678E"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</w:t>
            </w:r>
            <w:r w:rsidR="0065678E"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5B26E1" w:rsidP="00CE4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4039" w:rsidRPr="009F2363" w:rsidTr="0038010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3801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85" w:rsidRPr="009F2363" w:rsidRDefault="00E62585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039" w:rsidRPr="009F2363" w:rsidRDefault="00BC403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</w:t>
            </w:r>
          </w:p>
          <w:p w:rsidR="00BC4039" w:rsidRPr="009F2363" w:rsidRDefault="00BC4039" w:rsidP="00633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мусоропроводом и газовыми плитами </w:t>
            </w:r>
          </w:p>
          <w:p w:rsidR="0099096C" w:rsidRPr="009F2363" w:rsidRDefault="0099096C" w:rsidP="00633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6F4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</w:t>
            </w:r>
            <w:r w:rsidR="006F4C99" w:rsidRPr="009F2363">
              <w:rPr>
                <w:rFonts w:ascii="Arial" w:hAnsi="Arial" w:cs="Arial"/>
                <w:sz w:val="24"/>
                <w:szCs w:val="24"/>
              </w:rPr>
              <w:t>6</w:t>
            </w:r>
            <w:r w:rsidRPr="009F2363">
              <w:rPr>
                <w:rFonts w:ascii="Arial" w:hAnsi="Arial" w:cs="Arial"/>
                <w:sz w:val="24"/>
                <w:szCs w:val="24"/>
              </w:rPr>
              <w:t>+Гр.1</w:t>
            </w:r>
            <w:r w:rsidR="006F4C99" w:rsidRPr="009F2363">
              <w:rPr>
                <w:rFonts w:ascii="Arial" w:hAnsi="Arial" w:cs="Arial"/>
                <w:sz w:val="24"/>
                <w:szCs w:val="24"/>
              </w:rPr>
              <w:t>7</w:t>
            </w:r>
            <w:r w:rsidRPr="009F2363">
              <w:rPr>
                <w:rFonts w:ascii="Arial" w:hAnsi="Arial" w:cs="Arial"/>
                <w:sz w:val="24"/>
                <w:szCs w:val="24"/>
              </w:rPr>
              <w:t>+Гр.1</w:t>
            </w:r>
            <w:r w:rsidR="006F4C99"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C4039" w:rsidRPr="009F2363" w:rsidTr="00380109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3801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C" w:rsidRPr="009F2363" w:rsidRDefault="00BC4039" w:rsidP="00064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 мусоропроводом и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864932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864932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81444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B81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</w:t>
            </w:r>
            <w:r w:rsidR="00B81444" w:rsidRPr="009F236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AE4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9" w:rsidRPr="009F2363" w:rsidRDefault="00BC403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7F6E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газовыми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64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64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64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64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64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909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7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7F6E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0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7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8B31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29,28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B31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7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газовыми плитами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7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E23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0C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0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с мусоропроводом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31,55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5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65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  <w:p w:rsidR="006F4C99" w:rsidRPr="009F2363" w:rsidRDefault="006F4C99" w:rsidP="0065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B80C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благоустройства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24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24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24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0,61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24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E2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* ОДН по холодному водоснабжению, горячему водоснабжению, электроснабжению, начисляются по фактическим показаниям общедомового прибора учета,  но не более нормативов, установленных  распоряжением Министерства жилищно-коммунального хозяйства Московской области от 22.05.2017 №63-РВ. Если общедомовые приборы не введены в эксплуатацию, то расчет ОДН производится по нормативу.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3F53C2">
      <w:pPr>
        <w:spacing w:after="0" w:line="240" w:lineRule="auto"/>
        <w:ind w:left="9912"/>
        <w:rPr>
          <w:rFonts w:ascii="Arial" w:hAnsi="Arial" w:cs="Arial"/>
          <w:sz w:val="24"/>
          <w:szCs w:val="24"/>
          <w:u w:val="single"/>
        </w:rPr>
      </w:pPr>
      <w:r w:rsidRPr="009F2363">
        <w:rPr>
          <w:rFonts w:ascii="Arial" w:hAnsi="Arial" w:cs="Arial"/>
          <w:sz w:val="24"/>
          <w:szCs w:val="24"/>
        </w:rPr>
        <w:t xml:space="preserve">Приложение № 2                                                                                   к Постановлению  администрации       городского округа   Люберцы                                                                                  от </w:t>
      </w:r>
      <w:r w:rsidR="003F53C2" w:rsidRPr="009F2363">
        <w:rPr>
          <w:rFonts w:ascii="Arial" w:hAnsi="Arial" w:cs="Arial"/>
          <w:sz w:val="24"/>
          <w:szCs w:val="24"/>
        </w:rPr>
        <w:t>29.06.2018</w:t>
      </w:r>
      <w:r w:rsidRPr="009F2363">
        <w:rPr>
          <w:rFonts w:ascii="Arial" w:hAnsi="Arial" w:cs="Arial"/>
          <w:sz w:val="24"/>
          <w:szCs w:val="24"/>
        </w:rPr>
        <w:t xml:space="preserve">    № </w:t>
      </w:r>
      <w:r w:rsidR="003F53C2" w:rsidRPr="009F2363">
        <w:rPr>
          <w:rFonts w:ascii="Arial" w:hAnsi="Arial" w:cs="Arial"/>
          <w:sz w:val="24"/>
          <w:szCs w:val="24"/>
        </w:rPr>
        <w:t>2516-ПА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94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F2363" w:rsidRDefault="005A151B" w:rsidP="0094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или договорам найма жилых помещений государственного</w:t>
      </w:r>
    </w:p>
    <w:p w:rsidR="005A151B" w:rsidRPr="009F2363" w:rsidRDefault="005A151B" w:rsidP="0094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или муниципального жилищного фонда на территории городского округа Люберцы (для дачного поселка </w:t>
      </w:r>
      <w:proofErr w:type="spellStart"/>
      <w:r w:rsidRPr="009F2363">
        <w:rPr>
          <w:rFonts w:ascii="Arial" w:hAnsi="Arial" w:cs="Arial"/>
          <w:sz w:val="24"/>
          <w:szCs w:val="24"/>
        </w:rPr>
        <w:t>Красково</w:t>
      </w:r>
      <w:proofErr w:type="spellEnd"/>
      <w:r w:rsidRPr="009F2363">
        <w:rPr>
          <w:rFonts w:ascii="Arial" w:hAnsi="Arial" w:cs="Arial"/>
          <w:sz w:val="24"/>
          <w:szCs w:val="24"/>
        </w:rPr>
        <w:t>)</w:t>
      </w:r>
    </w:p>
    <w:p w:rsidR="005A151B" w:rsidRPr="009F2363" w:rsidRDefault="005A151B" w:rsidP="00940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(в рублях за 1кв.м. общей площади,  включая НДС</w:t>
      </w:r>
      <w:r w:rsidR="00E4263B" w:rsidRPr="009F2363">
        <w:rPr>
          <w:rFonts w:ascii="Arial" w:hAnsi="Arial" w:cs="Arial"/>
          <w:sz w:val="24"/>
          <w:szCs w:val="24"/>
        </w:rPr>
        <w:t xml:space="preserve"> -20%</w:t>
      </w:r>
      <w:r w:rsidRPr="009F2363">
        <w:rPr>
          <w:rFonts w:ascii="Arial" w:hAnsi="Arial" w:cs="Arial"/>
          <w:sz w:val="24"/>
          <w:szCs w:val="24"/>
        </w:rPr>
        <w:t>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991"/>
        <w:gridCol w:w="567"/>
        <w:gridCol w:w="567"/>
        <w:gridCol w:w="567"/>
      </w:tblGrid>
      <w:tr w:rsidR="0065678E" w:rsidRPr="009F2363" w:rsidTr="009F2363">
        <w:trPr>
          <w:trHeight w:val="4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Виды жилых </w:t>
            </w: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домов,</w:t>
            </w:r>
          </w:p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4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Цена (тариф) на услуги по содержанию  жилья (руб./м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678E" w:rsidRPr="009F2363" w:rsidTr="005431D2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65678E" w:rsidRPr="009F2363" w:rsidTr="005431D2">
        <w:trPr>
          <w:cantSplit/>
          <w:trHeight w:val="338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F2363" w:rsidTr="005431D2">
        <w:trPr>
          <w:cantSplit/>
          <w:trHeight w:val="3204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678E" w:rsidRPr="009F2363" w:rsidRDefault="0065678E" w:rsidP="00B432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Отведение поверхностных сточных вод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678E" w:rsidRPr="009F2363" w:rsidRDefault="0065678E" w:rsidP="000F7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F2363" w:rsidTr="00BC0259">
        <w:trPr>
          <w:trHeight w:val="4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5431D2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5431D2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5431D2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F4C99" w:rsidRPr="009F2363" w:rsidTr="006F4C99">
        <w:trPr>
          <w:trHeight w:val="10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</w:t>
            </w:r>
          </w:p>
          <w:p w:rsidR="006F4C99" w:rsidRPr="009F2363" w:rsidRDefault="006F4C99" w:rsidP="00084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мусоропроводом и газовыми плитами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C0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 мусоропроводом и электрическими плитами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43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FE1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99" w:rsidRPr="009F2363" w:rsidRDefault="006F4C99" w:rsidP="004C6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газовыми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FE1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D8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8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FE1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D8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26,94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D87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F54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F54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F54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E97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1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FE1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D8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газовыми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6F4C99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FE1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электрическими плитами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6F4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E7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с мусоропроводом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30,54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766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2C1E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2C1E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2C1E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2C1E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пониженной категории, имеющие не все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благоустройства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   6,80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  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0,61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058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* ОДН по холодному водоснабжению, горячему водоснабжению, электроснабжению, начисляются по фактическим показаниям общедомового прибора учета,  но не более нормативов, установленных  распоряжением Министерства жилищно-коммунального хозяйства Московской области от 22.05.2017 №63-РВ. Если общедомовые приборы не введены в эксплуатацию, то расчет ОДН производится по нормативу.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6D6C2F">
      <w:pPr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Приложение № 3                                                                                   к Постановлению  администрации       </w:t>
      </w:r>
      <w:r w:rsidRPr="009F2363">
        <w:rPr>
          <w:rFonts w:ascii="Arial" w:hAnsi="Arial" w:cs="Arial"/>
          <w:sz w:val="24"/>
          <w:szCs w:val="24"/>
        </w:rPr>
        <w:lastRenderedPageBreak/>
        <w:t xml:space="preserve">городского округа   Люберцы                                                                                  от </w:t>
      </w:r>
      <w:r w:rsidR="006D6C2F" w:rsidRPr="009F2363">
        <w:rPr>
          <w:rFonts w:ascii="Arial" w:hAnsi="Arial" w:cs="Arial"/>
          <w:sz w:val="24"/>
          <w:szCs w:val="24"/>
        </w:rPr>
        <w:t xml:space="preserve"> 29.06.2018</w:t>
      </w:r>
      <w:r w:rsidRPr="009F2363">
        <w:rPr>
          <w:rFonts w:ascii="Arial" w:hAnsi="Arial" w:cs="Arial"/>
          <w:sz w:val="24"/>
          <w:szCs w:val="24"/>
        </w:rPr>
        <w:t xml:space="preserve">   № </w:t>
      </w:r>
      <w:r w:rsidR="006D6C2F" w:rsidRPr="009F2363">
        <w:rPr>
          <w:rFonts w:ascii="Arial" w:hAnsi="Arial" w:cs="Arial"/>
          <w:sz w:val="24"/>
          <w:szCs w:val="24"/>
        </w:rPr>
        <w:t xml:space="preserve"> 2516-ПА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F2363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рабочего поселка </w:t>
      </w:r>
      <w:proofErr w:type="gramStart"/>
      <w:r w:rsidRPr="009F2363">
        <w:rPr>
          <w:rFonts w:ascii="Arial" w:hAnsi="Arial" w:cs="Arial"/>
          <w:sz w:val="24"/>
          <w:szCs w:val="24"/>
        </w:rPr>
        <w:t>Октябрьский</w:t>
      </w:r>
      <w:proofErr w:type="gramEnd"/>
      <w:r w:rsidRPr="009F2363">
        <w:rPr>
          <w:rFonts w:ascii="Arial" w:hAnsi="Arial" w:cs="Arial"/>
          <w:sz w:val="24"/>
          <w:szCs w:val="24"/>
        </w:rPr>
        <w:t>)</w:t>
      </w:r>
    </w:p>
    <w:p w:rsidR="005A151B" w:rsidRPr="009F2363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(в рублях за 1кв.м. общей площади,  включая НДС</w:t>
      </w:r>
      <w:r w:rsidR="00E4263B" w:rsidRPr="009F2363">
        <w:rPr>
          <w:rFonts w:ascii="Arial" w:hAnsi="Arial" w:cs="Arial"/>
          <w:sz w:val="24"/>
          <w:szCs w:val="24"/>
        </w:rPr>
        <w:t>-20%</w:t>
      </w:r>
      <w:r w:rsidRPr="009F2363">
        <w:rPr>
          <w:rFonts w:ascii="Arial" w:hAnsi="Arial" w:cs="Arial"/>
          <w:sz w:val="24"/>
          <w:szCs w:val="24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5A151B" w:rsidRPr="009F2363" w:rsidTr="009F2363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 №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151B" w:rsidRPr="009F2363" w:rsidTr="00E61F15">
        <w:trPr>
          <w:trHeight w:val="351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5A151B" w:rsidRPr="009F2363" w:rsidTr="003629EB">
        <w:trPr>
          <w:cantSplit/>
          <w:trHeight w:val="53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B25BE" w:rsidRPr="009F2363" w:rsidRDefault="005B25B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5B25BE" w:rsidRPr="009F2363" w:rsidRDefault="005B25B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BE" w:rsidRPr="009F2363" w:rsidTr="003629EB">
        <w:trPr>
          <w:cantSplit/>
          <w:trHeight w:val="300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9F2363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9F2363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5B2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Отведение поверхностных сточных вод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F2363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F2363" w:rsidTr="003629EB">
        <w:trPr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F4C99" w:rsidRPr="009F2363" w:rsidTr="00E426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мусоропроводом и газовыми плитами 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 мусоропроводом и электрическими плитами</w:t>
            </w: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B55C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99" w:rsidRPr="009F2363" w:rsidRDefault="006F4C99" w:rsidP="0038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38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38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38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9C5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газовыми плитами</w:t>
            </w:r>
          </w:p>
          <w:p w:rsidR="009C5D80" w:rsidRPr="009F2363" w:rsidRDefault="009C5D80" w:rsidP="009C5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8E39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8E39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с мусоропроводом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80" w:rsidRPr="009F2363" w:rsidRDefault="009C5D80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пониженной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</w:t>
            </w: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19,31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пониженной категории без дворников и 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F2363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F4C99" w:rsidP="00E426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8604DB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860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0,1</w:t>
            </w:r>
            <w:r w:rsidR="008604DB" w:rsidRPr="009F23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* ОДН по холодному водоснабжению, горячему водоснабжению, электроснабжению, начисляются по фактическим показаниям общедомового прибора учета,  но не более нормативов, установленных  распоряжением Министерства жилищно-коммунального хозяйства Московской области от 22.05.2017 №63-РВ. Если общедомовые приборы не введены в эксплуатацию, то расчет ОДН производится по нормативу.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6326DD">
      <w:pPr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Приложение № 4                                                                                   к Постановлению  администрации       городского округа   Люберцы                                                                                  от  </w:t>
      </w:r>
      <w:r w:rsidR="006326DD" w:rsidRPr="009F2363">
        <w:rPr>
          <w:rFonts w:ascii="Arial" w:hAnsi="Arial" w:cs="Arial"/>
          <w:sz w:val="24"/>
          <w:szCs w:val="24"/>
        </w:rPr>
        <w:t>29.06.2018</w:t>
      </w:r>
      <w:r w:rsidRPr="009F2363">
        <w:rPr>
          <w:rFonts w:ascii="Arial" w:hAnsi="Arial" w:cs="Arial"/>
          <w:sz w:val="24"/>
          <w:szCs w:val="24"/>
        </w:rPr>
        <w:t xml:space="preserve">   № </w:t>
      </w:r>
      <w:r w:rsidR="001F4E85" w:rsidRPr="009F2363">
        <w:rPr>
          <w:rFonts w:ascii="Arial" w:hAnsi="Arial" w:cs="Arial"/>
          <w:sz w:val="24"/>
          <w:szCs w:val="24"/>
        </w:rPr>
        <w:t>2516-ПА</w:t>
      </w:r>
      <w:r w:rsidRPr="009F2363">
        <w:rPr>
          <w:rFonts w:ascii="Arial" w:hAnsi="Arial" w:cs="Arial"/>
          <w:sz w:val="24"/>
          <w:szCs w:val="24"/>
        </w:rPr>
        <w:t xml:space="preserve"> </w:t>
      </w:r>
    </w:p>
    <w:p w:rsidR="005A151B" w:rsidRPr="009F2363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F2363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или договорам найма жилых помещений государственного</w:t>
      </w:r>
    </w:p>
    <w:p w:rsidR="005A151B" w:rsidRPr="009F2363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или муниципального жилищного фонда  на территории городского округа Люберцы (для рабочего поселка  </w:t>
      </w:r>
      <w:proofErr w:type="spellStart"/>
      <w:r w:rsidRPr="009F2363">
        <w:rPr>
          <w:rFonts w:ascii="Arial" w:hAnsi="Arial" w:cs="Arial"/>
          <w:sz w:val="24"/>
          <w:szCs w:val="24"/>
        </w:rPr>
        <w:t>Малаховка</w:t>
      </w:r>
      <w:proofErr w:type="spellEnd"/>
      <w:r w:rsidRPr="009F2363">
        <w:rPr>
          <w:rFonts w:ascii="Arial" w:hAnsi="Arial" w:cs="Arial"/>
          <w:sz w:val="24"/>
          <w:szCs w:val="24"/>
        </w:rPr>
        <w:t>)</w:t>
      </w:r>
    </w:p>
    <w:p w:rsidR="005A151B" w:rsidRPr="009F2363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(в рублях за 1кв.м. общей площади,  включая НДС</w:t>
      </w:r>
      <w:r w:rsidR="00E4263B" w:rsidRPr="009F2363">
        <w:rPr>
          <w:rFonts w:ascii="Arial" w:hAnsi="Arial" w:cs="Arial"/>
          <w:sz w:val="24"/>
          <w:szCs w:val="24"/>
        </w:rPr>
        <w:t>-20%</w:t>
      </w:r>
      <w:r w:rsidRPr="009F2363">
        <w:rPr>
          <w:rFonts w:ascii="Arial" w:hAnsi="Arial" w:cs="Arial"/>
          <w:sz w:val="24"/>
          <w:szCs w:val="24"/>
        </w:rPr>
        <w:t>)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7"/>
        <w:gridCol w:w="851"/>
        <w:gridCol w:w="709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5A151B" w:rsidRPr="009F2363" w:rsidTr="009F2363">
        <w:trPr>
          <w:trHeight w:val="4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A8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Цена (тариф) на услуги по содержанию  жилья (руб./м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151B" w:rsidRPr="009F2363" w:rsidTr="002F31ED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5A151B" w:rsidRPr="009F2363" w:rsidTr="00D16433">
        <w:trPr>
          <w:cantSplit/>
          <w:trHeight w:val="53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1B" w:rsidRPr="009F2363" w:rsidTr="00D16433">
        <w:trPr>
          <w:cantSplit/>
          <w:trHeight w:val="300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textDirection w:val="btLr"/>
          </w:tcPr>
          <w:p w:rsidR="005A151B" w:rsidRPr="009F2363" w:rsidRDefault="00DA7143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</w:t>
            </w:r>
            <w:r w:rsidR="005A151B" w:rsidRPr="009F2363">
              <w:rPr>
                <w:rFonts w:ascii="Arial" w:hAnsi="Arial" w:cs="Arial"/>
                <w:sz w:val="24"/>
                <w:szCs w:val="24"/>
              </w:rPr>
              <w:t>тведение поверхностных сточных вод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F2363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F2363" w:rsidTr="00D16433">
        <w:trPr>
          <w:trHeight w:val="4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F2363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F4C99" w:rsidRPr="009F2363" w:rsidTr="00E4263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</w:t>
            </w:r>
          </w:p>
          <w:p w:rsidR="006F4C99" w:rsidRPr="009F2363" w:rsidRDefault="006F4C99" w:rsidP="00E75D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мусоропроводом и газовыми плитами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3B0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2 и более лифтами, мусоропроводом и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газовыми плитами</w:t>
            </w: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и мусоропроводом и электрическими плитами</w:t>
            </w: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C5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газовыми плитами</w:t>
            </w:r>
          </w:p>
          <w:p w:rsidR="006F4C99" w:rsidRPr="009F2363" w:rsidRDefault="006F4C99" w:rsidP="009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82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с лифтом без мусоропровода с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D1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1E7B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без лифта с мусоропроводом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757125" w:rsidP="009C5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C99" w:rsidRPr="009F2363">
              <w:rPr>
                <w:rFonts w:ascii="Arial" w:hAnsi="Arial" w:cs="Arial"/>
                <w:sz w:val="24"/>
                <w:szCs w:val="24"/>
              </w:rPr>
              <w:t>31,55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A165A1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F4C99" w:rsidRPr="009F2363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 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виды благоустройства, с печным отоплением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9F236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виды благоустройства, без дворника и </w:t>
            </w: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 xml:space="preserve">уборщицы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виды благоустройства, без уборщицы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Жилые дома пониженной категории, имеющие не все виды благоустройства, с выгребными ямами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Жилой дом,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шоссе, д.52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757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2,0</w:t>
            </w:r>
            <w:r w:rsidR="00757125"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43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F4C99" w:rsidRPr="009F2363" w:rsidTr="00E4263B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99" w:rsidRPr="009F2363" w:rsidRDefault="006F4C99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Жилой дом, ул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 xml:space="preserve">расная, д.11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99" w:rsidRPr="009F2363" w:rsidRDefault="006F4C99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* ОДН по холодному водоснабжению, горячему водоснабжению, электроснабжению, начисляются по фактическим показаниям общедомового прибора учета,  но не более нормативов, установленных  распоряжением Министерства жилищно-коммунального хозяйства Московской области от 22.05.2017 №63-РВ. Если общедомовые приборы не введены в эксплуатацию, то расчет ОДН производится по нормативу.</w:t>
      </w:r>
    </w:p>
    <w:p w:rsidR="005A151B" w:rsidRPr="009F2363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160" w:rsidRPr="009F2363" w:rsidRDefault="00E42160" w:rsidP="00E42160">
      <w:pPr>
        <w:spacing w:after="0" w:line="240" w:lineRule="auto"/>
        <w:ind w:left="10206"/>
        <w:rPr>
          <w:rFonts w:ascii="Arial" w:hAnsi="Arial" w:cs="Arial"/>
          <w:sz w:val="24"/>
          <w:szCs w:val="24"/>
          <w:u w:val="single"/>
        </w:rPr>
      </w:pPr>
      <w:r w:rsidRPr="009F2363">
        <w:rPr>
          <w:rFonts w:ascii="Arial" w:hAnsi="Arial" w:cs="Arial"/>
          <w:sz w:val="24"/>
          <w:szCs w:val="24"/>
        </w:rPr>
        <w:t>Приложение № 5                                                                                   к Постановлению  администрации       городского округа   Люберцы                                                                                  от  29.06.2018  №  2516-ПА</w:t>
      </w:r>
    </w:p>
    <w:p w:rsidR="008E52E3" w:rsidRPr="009F2363" w:rsidRDefault="008E52E3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160" w:rsidRPr="009F2363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E42160" w:rsidRPr="009F2363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или договорам найма жилых помещений государственного </w:t>
      </w:r>
    </w:p>
    <w:p w:rsidR="00E42160" w:rsidRPr="009F2363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муниципального жилищного фонда на территории городского округа Люберцы (для </w:t>
      </w:r>
      <w:proofErr w:type="gramEnd"/>
    </w:p>
    <w:p w:rsidR="00E42160" w:rsidRPr="009F2363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поселка </w:t>
      </w:r>
      <w:proofErr w:type="spell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t>Томилино</w:t>
      </w:r>
      <w:proofErr w:type="spellEnd"/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 для домов по указанным адресам</w:t>
      </w:r>
      <w:proofErr w:type="gramStart"/>
      <w:r w:rsidRPr="009F2363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8E52E3" w:rsidRPr="009F2363" w:rsidRDefault="00E42160" w:rsidP="00E42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(в рублях за 1кв.м. общей площади,  включая НДС-20%)</w:t>
      </w:r>
    </w:p>
    <w:p w:rsidR="005C4C64" w:rsidRPr="009F2363" w:rsidRDefault="005C4C64" w:rsidP="00E42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E42160" w:rsidRPr="009F2363" w:rsidTr="009F2363">
        <w:trPr>
          <w:trHeight w:val="4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42160" w:rsidRPr="009F2363" w:rsidTr="00E42160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E42160" w:rsidRPr="009F2363" w:rsidTr="00E42160">
        <w:trPr>
          <w:cantSplit/>
          <w:trHeight w:val="53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F236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F2363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F2363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F2363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E42160" w:rsidRPr="009F2363" w:rsidRDefault="00E42160" w:rsidP="00E4216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160" w:rsidRPr="009F2363" w:rsidTr="00E42160">
        <w:trPr>
          <w:cantSplit/>
          <w:trHeight w:val="300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Отведение поверхностных сточных вод</w:t>
            </w:r>
          </w:p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160" w:rsidRPr="009F2363" w:rsidTr="00E42160">
        <w:trPr>
          <w:trHeight w:val="26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42160" w:rsidRPr="009F2363" w:rsidTr="005C4C6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без лифта и без мусоропровода по адресу: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аршина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дд.1; 6; 14; 16; 18; 20;  22; 24; 28; 9/1; 9/3; 9в; 9а к1; 9а к2; 9а к3; 9а к4; 9а к5; 9а к 6; 9а к 7; 9а/3; 11а; 11б; 20А; д.20Г; д20Д; д.20Е;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оголя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4/1; 5; 6/1; 13; 14; 15;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16; 17; 18/1; 19; 20; </w:t>
            </w: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20а; 20б; 22; 23; 24; 24а; 26; 28; 30; 34; 36; 38; 50; 51; 52;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д.д.2; 3; 5; 7; 9; 11; 13; 15; 17; 19; 21;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ернышевского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д.д.9/13 к.1; 9/13 к.2;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дд.4;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ургенева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12; 14;16; 18;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тицефабрика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д.д.1; 1а; 2; 3; 4; 5; 6; 7; 8; 9; 10; 11; 12; 13; 14; 15; 16; 18; 19; 20; 21; 22; 23; 24;</w:t>
            </w:r>
          </w:p>
          <w:p w:rsidR="00EE30E2" w:rsidRPr="009F2363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Рязанское шоссе, д.д.42; 43; 45.</w:t>
            </w: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E30E2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24,12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E30E2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E30E2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E42160" w:rsidRPr="009F2363" w:rsidTr="00E42160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3" w:rsidRPr="009F2363" w:rsidRDefault="008E52E3" w:rsidP="008E52E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без лифта с мусоропроводом по адресу: </w:t>
            </w:r>
            <w:proofErr w:type="spell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аршина</w:t>
            </w:r>
            <w:proofErr w:type="spellEnd"/>
            <w:r w:rsidRPr="009F2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д.9а к.10</w:t>
            </w:r>
          </w:p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7957CE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26,39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3" w:rsidRPr="009F2363" w:rsidRDefault="008E52E3" w:rsidP="008E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7957CE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8E52E3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8E52E3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5,61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F2363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3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E42160" w:rsidRPr="009F2363" w:rsidRDefault="00E42160" w:rsidP="00E42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160" w:rsidRPr="009F2363" w:rsidRDefault="00E42160" w:rsidP="00E421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* ОДН по холодному водоснабжению, горячему водоснабжению, электроснабжению, начисляются по фактическим показаниям общедомового прибора учета,  но не более нормативов, установленных  распоряжением Министерства жилищно-коммунального хозяйства Московской области от 22.05.2017 №63-РВ. Если общедомовые приборы не введены в эксплуатацию, то расчет ОДН производится по нормативу.</w:t>
      </w:r>
    </w:p>
    <w:p w:rsidR="00B10EDC" w:rsidRPr="009F2363" w:rsidRDefault="00B10EDC" w:rsidP="005A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10EDC" w:rsidRPr="009F2363" w:rsidRDefault="00B10EDC" w:rsidP="005A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1" w:rsidRPr="009F2363" w:rsidRDefault="004662B1" w:rsidP="00B10EDC">
      <w:pPr>
        <w:rPr>
          <w:rFonts w:ascii="Arial" w:hAnsi="Arial" w:cs="Arial"/>
          <w:sz w:val="24"/>
          <w:szCs w:val="24"/>
        </w:rPr>
        <w:sectPr w:rsidR="004662B1" w:rsidRPr="009F2363" w:rsidSect="009939D5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B10EDC" w:rsidRPr="009F2363" w:rsidRDefault="00B10EDC" w:rsidP="00466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lastRenderedPageBreak/>
        <w:t>Примечания:</w:t>
      </w:r>
    </w:p>
    <w:p w:rsidR="00B10EDC" w:rsidRPr="009F2363" w:rsidRDefault="00B10EDC" w:rsidP="004662B1">
      <w:pPr>
        <w:spacing w:after="0" w:line="240" w:lineRule="auto"/>
        <w:ind w:left="180" w:firstLine="671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>1.Обязанность по внесению платы за жилое помещение и коммунальные услуги возникает у:</w:t>
      </w:r>
    </w:p>
    <w:p w:rsidR="00B10EDC" w:rsidRPr="009F2363" w:rsidRDefault="00B10EDC" w:rsidP="004662B1">
      <w:pPr>
        <w:spacing w:after="0" w:line="24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 1) нанимателя жилого помещения по договору социального найма с момента заключения такого договора;</w:t>
      </w:r>
    </w:p>
    <w:p w:rsidR="00B10EDC" w:rsidRPr="009F2363" w:rsidRDefault="00B10EDC" w:rsidP="004662B1">
      <w:pPr>
        <w:spacing w:after="0" w:line="24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 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B10EDC" w:rsidRPr="009F2363" w:rsidRDefault="00B10EDC" w:rsidP="004662B1">
      <w:pPr>
        <w:spacing w:after="0" w:line="24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 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договора.</w:t>
      </w:r>
    </w:p>
    <w:p w:rsidR="00B10EDC" w:rsidRPr="009F2363" w:rsidRDefault="00B10EDC" w:rsidP="004662B1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      2.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9F2363">
        <w:rPr>
          <w:rFonts w:ascii="Arial" w:hAnsi="Arial" w:cs="Arial"/>
          <w:sz w:val="24"/>
          <w:szCs w:val="24"/>
        </w:rPr>
        <w:t>управомоченные</w:t>
      </w:r>
      <w:proofErr w:type="spellEnd"/>
      <w:r w:rsidRPr="009F2363">
        <w:rPr>
          <w:rFonts w:ascii="Arial" w:hAnsi="Arial" w:cs="Arial"/>
          <w:sz w:val="24"/>
          <w:szCs w:val="24"/>
        </w:rPr>
        <w:t xml:space="preserve"> ими лица.</w:t>
      </w:r>
    </w:p>
    <w:p w:rsidR="00B10EDC" w:rsidRPr="009F2363" w:rsidRDefault="00B10EDC" w:rsidP="004662B1">
      <w:pPr>
        <w:tabs>
          <w:tab w:val="left" w:pos="360"/>
        </w:tabs>
        <w:spacing w:after="0" w:line="24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  3. Расчет размеров платы населением за содержание и ремонт  жилых  помещений (жилья) производится исходя из общей площади жилого помещения.</w:t>
      </w:r>
    </w:p>
    <w:p w:rsidR="00B10EDC" w:rsidRPr="009F2363" w:rsidRDefault="00B10EDC" w:rsidP="004662B1">
      <w:pPr>
        <w:pStyle w:val="ConsPlusNormal"/>
        <w:ind w:left="180" w:firstLine="360"/>
        <w:jc w:val="both"/>
        <w:rPr>
          <w:sz w:val="24"/>
          <w:szCs w:val="24"/>
        </w:rPr>
      </w:pPr>
      <w:r w:rsidRPr="009F2363">
        <w:rPr>
          <w:sz w:val="24"/>
          <w:szCs w:val="24"/>
        </w:rPr>
        <w:t xml:space="preserve">     4. Общая площадь жилого помещения состоит из суммы площадей всех частей такого помещения, включая площадь   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B10EDC" w:rsidRPr="009F2363" w:rsidRDefault="00B10EDC" w:rsidP="004662B1">
      <w:pPr>
        <w:pStyle w:val="ConsPlusNormal"/>
        <w:ind w:left="180" w:firstLine="360"/>
        <w:jc w:val="both"/>
        <w:rPr>
          <w:sz w:val="24"/>
          <w:szCs w:val="24"/>
        </w:rPr>
      </w:pPr>
      <w:r w:rsidRPr="009F2363">
        <w:rPr>
          <w:sz w:val="24"/>
          <w:szCs w:val="24"/>
        </w:rPr>
        <w:t xml:space="preserve">      5.  Жителям, у которых не установлены индивидуальные приборы учета холодной и горячей воды и плата за коммунальные услуги начисляется по нормативам,  ОДН за холодное и горячее водоснабжение не начисляются, так как объем коммунальных ресурсов на общедомовые нужды учтен в действующих нормативах.</w:t>
      </w:r>
    </w:p>
    <w:p w:rsidR="00B10EDC" w:rsidRPr="009F2363" w:rsidRDefault="00B10EDC" w:rsidP="004662B1">
      <w:pPr>
        <w:pStyle w:val="ConsPlusNormal"/>
        <w:ind w:left="180" w:firstLine="360"/>
        <w:jc w:val="both"/>
        <w:rPr>
          <w:sz w:val="24"/>
          <w:szCs w:val="24"/>
        </w:rPr>
      </w:pPr>
      <w:r w:rsidRPr="009F2363">
        <w:rPr>
          <w:sz w:val="24"/>
          <w:szCs w:val="24"/>
        </w:rPr>
        <w:t xml:space="preserve">      6. Стоимость абонентских книжек по расчетам за жилищные и коммунальные услуги включена в плату за содержание и ремонт жилых помещений (жилья) и с населения не взимается (кроме дополнительных экземпляров в случае потери).</w:t>
      </w:r>
    </w:p>
    <w:p w:rsidR="00B10EDC" w:rsidRPr="009F2363" w:rsidRDefault="00B10EDC" w:rsidP="004662B1">
      <w:pPr>
        <w:tabs>
          <w:tab w:val="left" w:pos="900"/>
        </w:tabs>
        <w:spacing w:after="0" w:line="240" w:lineRule="auto"/>
        <w:ind w:left="180" w:firstLine="528"/>
        <w:jc w:val="both"/>
        <w:rPr>
          <w:rFonts w:ascii="Arial" w:hAnsi="Arial" w:cs="Arial"/>
          <w:sz w:val="24"/>
          <w:szCs w:val="24"/>
        </w:rPr>
      </w:pPr>
      <w:r w:rsidRPr="009F2363">
        <w:rPr>
          <w:rFonts w:ascii="Arial" w:hAnsi="Arial" w:cs="Arial"/>
          <w:sz w:val="24"/>
          <w:szCs w:val="24"/>
        </w:rPr>
        <w:t xml:space="preserve">   7. </w:t>
      </w:r>
      <w:proofErr w:type="gramStart"/>
      <w:r w:rsidRPr="009F2363">
        <w:rPr>
          <w:rFonts w:ascii="Arial" w:hAnsi="Arial" w:cs="Arial"/>
          <w:sz w:val="24"/>
          <w:szCs w:val="24"/>
        </w:rPr>
        <w:t>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домов, которые на их общем собрании не приняли решение об установлении размера платы за содержание и ремонт жилого помещения, равным размеру платы за содержание и ремонт жилого помещения, установленного для нанимателей жилых помещений по договорам социального найма или договорам найма жилых помещений государственного или</w:t>
      </w:r>
      <w:proofErr w:type="gramEnd"/>
      <w:r w:rsidRPr="009F2363">
        <w:rPr>
          <w:rFonts w:ascii="Arial" w:hAnsi="Arial" w:cs="Arial"/>
          <w:sz w:val="24"/>
          <w:szCs w:val="24"/>
        </w:rPr>
        <w:t xml:space="preserve"> муниципального жилищного фонда, если это предусмотрено условиями договора управления многоквартирным жилым домом.</w:t>
      </w:r>
    </w:p>
    <w:p w:rsidR="00B10EDC" w:rsidRPr="009F2363" w:rsidRDefault="00B10EDC" w:rsidP="00941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10EDC" w:rsidRPr="009F2363" w:rsidSect="0094185A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265"/>
    <w:rsid w:val="00013592"/>
    <w:rsid w:val="00020CB5"/>
    <w:rsid w:val="00064943"/>
    <w:rsid w:val="000826EE"/>
    <w:rsid w:val="00084471"/>
    <w:rsid w:val="00084E56"/>
    <w:rsid w:val="000B191D"/>
    <w:rsid w:val="000C52F3"/>
    <w:rsid w:val="000F138C"/>
    <w:rsid w:val="000F7B2F"/>
    <w:rsid w:val="0014132C"/>
    <w:rsid w:val="0019140C"/>
    <w:rsid w:val="001B5C55"/>
    <w:rsid w:val="001E7BC4"/>
    <w:rsid w:val="001F4E85"/>
    <w:rsid w:val="00212663"/>
    <w:rsid w:val="0024328E"/>
    <w:rsid w:val="002C1E6C"/>
    <w:rsid w:val="002F31ED"/>
    <w:rsid w:val="003110AF"/>
    <w:rsid w:val="0033535A"/>
    <w:rsid w:val="003629EB"/>
    <w:rsid w:val="00362D7F"/>
    <w:rsid w:val="00380109"/>
    <w:rsid w:val="00384FA1"/>
    <w:rsid w:val="003B0381"/>
    <w:rsid w:val="003E5A64"/>
    <w:rsid w:val="003E7DFD"/>
    <w:rsid w:val="003F53C2"/>
    <w:rsid w:val="004058E8"/>
    <w:rsid w:val="00443646"/>
    <w:rsid w:val="004662B1"/>
    <w:rsid w:val="00476626"/>
    <w:rsid w:val="0048135A"/>
    <w:rsid w:val="00492C58"/>
    <w:rsid w:val="004C6D83"/>
    <w:rsid w:val="004D2BCA"/>
    <w:rsid w:val="004E7806"/>
    <w:rsid w:val="00501665"/>
    <w:rsid w:val="00507403"/>
    <w:rsid w:val="00521A40"/>
    <w:rsid w:val="005305A4"/>
    <w:rsid w:val="005431D2"/>
    <w:rsid w:val="00543544"/>
    <w:rsid w:val="005530DC"/>
    <w:rsid w:val="00560193"/>
    <w:rsid w:val="0058426C"/>
    <w:rsid w:val="005A151B"/>
    <w:rsid w:val="005A610D"/>
    <w:rsid w:val="005B25BE"/>
    <w:rsid w:val="005B26E1"/>
    <w:rsid w:val="005C4C64"/>
    <w:rsid w:val="005E05A2"/>
    <w:rsid w:val="005E238A"/>
    <w:rsid w:val="005F0A07"/>
    <w:rsid w:val="00624EC4"/>
    <w:rsid w:val="006326DD"/>
    <w:rsid w:val="00633AB5"/>
    <w:rsid w:val="00643874"/>
    <w:rsid w:val="00643DFE"/>
    <w:rsid w:val="0065678E"/>
    <w:rsid w:val="00690ED3"/>
    <w:rsid w:val="006D6C2F"/>
    <w:rsid w:val="006E6D05"/>
    <w:rsid w:val="006F4C99"/>
    <w:rsid w:val="0070410A"/>
    <w:rsid w:val="00710FE4"/>
    <w:rsid w:val="007411CB"/>
    <w:rsid w:val="00757125"/>
    <w:rsid w:val="007957CE"/>
    <w:rsid w:val="007F6E37"/>
    <w:rsid w:val="00847219"/>
    <w:rsid w:val="008604DB"/>
    <w:rsid w:val="00864932"/>
    <w:rsid w:val="0087798D"/>
    <w:rsid w:val="008B315C"/>
    <w:rsid w:val="008E39AD"/>
    <w:rsid w:val="008E52E3"/>
    <w:rsid w:val="00925078"/>
    <w:rsid w:val="00940C74"/>
    <w:rsid w:val="0094185A"/>
    <w:rsid w:val="00953FEA"/>
    <w:rsid w:val="00976B56"/>
    <w:rsid w:val="00977620"/>
    <w:rsid w:val="0099096C"/>
    <w:rsid w:val="009939D5"/>
    <w:rsid w:val="009C5D80"/>
    <w:rsid w:val="009F2363"/>
    <w:rsid w:val="009F7054"/>
    <w:rsid w:val="00A03467"/>
    <w:rsid w:val="00A165A1"/>
    <w:rsid w:val="00A2221F"/>
    <w:rsid w:val="00A35544"/>
    <w:rsid w:val="00A74D3F"/>
    <w:rsid w:val="00A822DE"/>
    <w:rsid w:val="00AB7328"/>
    <w:rsid w:val="00AD0C16"/>
    <w:rsid w:val="00AE4A1A"/>
    <w:rsid w:val="00B04D6E"/>
    <w:rsid w:val="00B10EDC"/>
    <w:rsid w:val="00B15CF0"/>
    <w:rsid w:val="00B36001"/>
    <w:rsid w:val="00B4329A"/>
    <w:rsid w:val="00B55CCF"/>
    <w:rsid w:val="00B63682"/>
    <w:rsid w:val="00B70F92"/>
    <w:rsid w:val="00B80CEF"/>
    <w:rsid w:val="00B81444"/>
    <w:rsid w:val="00B877AA"/>
    <w:rsid w:val="00BC0259"/>
    <w:rsid w:val="00BC4039"/>
    <w:rsid w:val="00C92F46"/>
    <w:rsid w:val="00C96AC8"/>
    <w:rsid w:val="00CB6D9E"/>
    <w:rsid w:val="00CE491B"/>
    <w:rsid w:val="00D16433"/>
    <w:rsid w:val="00D3512D"/>
    <w:rsid w:val="00D57FA7"/>
    <w:rsid w:val="00D648BF"/>
    <w:rsid w:val="00D803C6"/>
    <w:rsid w:val="00D803F6"/>
    <w:rsid w:val="00D82A21"/>
    <w:rsid w:val="00D87CDC"/>
    <w:rsid w:val="00DA7143"/>
    <w:rsid w:val="00DD72B5"/>
    <w:rsid w:val="00DE48C8"/>
    <w:rsid w:val="00E02265"/>
    <w:rsid w:val="00E137DB"/>
    <w:rsid w:val="00E31ABD"/>
    <w:rsid w:val="00E42160"/>
    <w:rsid w:val="00E4263B"/>
    <w:rsid w:val="00E56C48"/>
    <w:rsid w:val="00E61F15"/>
    <w:rsid w:val="00E62585"/>
    <w:rsid w:val="00E75DF8"/>
    <w:rsid w:val="00E974FE"/>
    <w:rsid w:val="00EB6276"/>
    <w:rsid w:val="00ED7C15"/>
    <w:rsid w:val="00EE30E2"/>
    <w:rsid w:val="00F03674"/>
    <w:rsid w:val="00F468C3"/>
    <w:rsid w:val="00F542E8"/>
    <w:rsid w:val="00F7182C"/>
    <w:rsid w:val="00FD0ECD"/>
    <w:rsid w:val="00FD1B70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5769-C6BD-41CD-89DD-96F0E11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2018-10-30T10:43:00Z</cp:lastPrinted>
  <dcterms:created xsi:type="dcterms:W3CDTF">2018-11-06T07:12:00Z</dcterms:created>
  <dcterms:modified xsi:type="dcterms:W3CDTF">2018-11-06T07:12:00Z</dcterms:modified>
</cp:coreProperties>
</file>