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C3507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A6DBD">
        <w:rPr>
          <w:rFonts w:ascii="Courier New" w:hAnsi="Courier New" w:cs="Courier New"/>
          <w:sz w:val="24"/>
          <w:szCs w:val="24"/>
          <w:u w:val="single"/>
          <w:lang w:eastAsia="ru-RU"/>
        </w:rPr>
        <w:t>06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C35073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35073">
        <w:rPr>
          <w:rFonts w:ascii="Courier New" w:hAnsi="Courier New" w:cs="Courier New"/>
          <w:sz w:val="23"/>
          <w:szCs w:val="23"/>
          <w:u w:val="single"/>
          <w:lang w:eastAsia="ru-RU"/>
        </w:rPr>
        <w:t>Нестационарные объекты: автоматический шлагбаум – 1 шт., бетонный блок – 16 шт.</w:t>
      </w:r>
    </w:p>
    <w:p w:rsidR="004435EA" w:rsidRPr="005F1B10" w:rsidRDefault="004435EA" w:rsidP="00C3507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B35790" w:rsidRDefault="00C35073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C35073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г. Люберцы, около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br/>
      </w:r>
      <w:r w:rsidRPr="00C35073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ул. Кирова, д. 9, к.2______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________________________________________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1E03B6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C3507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37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C479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9A6DBD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т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и вывезен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9C7DC6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9A6DBD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E03B6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Романцова Н.Н. </w:t>
      </w:r>
      <w:bookmarkStart w:id="0" w:name="_GoBack"/>
      <w:bookmarkEnd w:id="0"/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03B6"/>
    <w:rsid w:val="001E789E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C7DC6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630B"/>
    <w:rsid w:val="00BD5485"/>
    <w:rsid w:val="00BF4999"/>
    <w:rsid w:val="00C1487B"/>
    <w:rsid w:val="00C20504"/>
    <w:rsid w:val="00C35073"/>
    <w:rsid w:val="00C41D6D"/>
    <w:rsid w:val="00C479CB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6</cp:revision>
  <cp:lastPrinted>2024-06-07T08:12:00Z</cp:lastPrinted>
  <dcterms:created xsi:type="dcterms:W3CDTF">2024-06-05T13:56:00Z</dcterms:created>
  <dcterms:modified xsi:type="dcterms:W3CDTF">2024-06-07T08:12:00Z</dcterms:modified>
</cp:coreProperties>
</file>