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5C" w:rsidRPr="00775C74" w:rsidRDefault="00D3135C" w:rsidP="00D3135C">
      <w:pPr>
        <w:spacing w:after="0" w:line="240" w:lineRule="auto"/>
        <w:ind w:left="-1701" w:right="-850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775C74">
        <w:rPr>
          <w:b/>
          <w:noProof/>
          <w:sz w:val="24"/>
          <w:szCs w:val="20"/>
          <w:lang w:eastAsia="ru-RU"/>
        </w:rPr>
        <w:drawing>
          <wp:inline distT="0" distB="0" distL="0" distR="0">
            <wp:extent cx="895350" cy="1104900"/>
            <wp:effectExtent l="0" t="0" r="0" b="0"/>
            <wp:docPr id="1" name="Рисунок 1" descr="C:\Users\user\Documents\Нормативные документы\Делопроизводство\Бланки\Бланки гербовые\Gerb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cuments\Нормативные документы\Делопроизводство\Бланки\Бланки гербовые\Gerb_blu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35C" w:rsidRPr="00775C74" w:rsidRDefault="00D3135C" w:rsidP="00D3135C">
      <w:pPr>
        <w:spacing w:after="0" w:line="240" w:lineRule="auto"/>
        <w:ind w:left="-1701" w:right="-85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3135C" w:rsidRPr="00775C74" w:rsidRDefault="00D3135C" w:rsidP="00D3135C">
      <w:pPr>
        <w:spacing w:after="0" w:line="240" w:lineRule="auto"/>
        <w:ind w:left="-1701" w:right="-850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proofErr w:type="gramStart"/>
      <w:r w:rsidRPr="00775C74">
        <w:rPr>
          <w:rFonts w:ascii="Times New Roman" w:hAnsi="Times New Roman"/>
          <w:b/>
          <w:sz w:val="40"/>
          <w:szCs w:val="40"/>
          <w:lang w:eastAsia="ru-RU"/>
        </w:rPr>
        <w:t>СОВЕТ  ДЕПУТАТОВ</w:t>
      </w:r>
      <w:proofErr w:type="gramEnd"/>
    </w:p>
    <w:p w:rsidR="00D3135C" w:rsidRPr="00775C74" w:rsidRDefault="00D3135C" w:rsidP="00D3135C">
      <w:pPr>
        <w:spacing w:after="0" w:line="240" w:lineRule="auto"/>
        <w:ind w:left="-1701" w:right="-850"/>
        <w:jc w:val="center"/>
        <w:rPr>
          <w:rFonts w:ascii="Times New Roman" w:eastAsia="Times New Roman" w:hAnsi="Times New Roman"/>
          <w:b/>
          <w:bCs/>
          <w:spacing w:val="10"/>
          <w:w w:val="115"/>
          <w:sz w:val="28"/>
          <w:szCs w:val="28"/>
          <w:lang w:eastAsia="ru-RU"/>
        </w:rPr>
      </w:pPr>
      <w:r w:rsidRPr="00775C74">
        <w:rPr>
          <w:rFonts w:ascii="Times New Roman" w:eastAsia="Times New Roman" w:hAnsi="Times New Roman"/>
          <w:b/>
          <w:bCs/>
          <w:noProof/>
          <w:spacing w:val="10"/>
          <w:w w:val="115"/>
          <w:sz w:val="28"/>
          <w:szCs w:val="28"/>
          <w:lang w:eastAsia="ru-RU"/>
        </w:rPr>
        <w:t>МУНИЦИПАЛЬНОГО ОБРАЗОВАНИЯ</w:t>
      </w:r>
    </w:p>
    <w:p w:rsidR="00D3135C" w:rsidRPr="00775C74" w:rsidRDefault="00D3135C" w:rsidP="00D3135C">
      <w:pPr>
        <w:spacing w:after="0" w:line="240" w:lineRule="auto"/>
        <w:ind w:left="-1701" w:right="-850"/>
        <w:jc w:val="center"/>
        <w:rPr>
          <w:rFonts w:ascii="Times New Roman" w:eastAsia="Times New Roman" w:hAnsi="Times New Roman"/>
          <w:b/>
          <w:bCs/>
          <w:noProof/>
          <w:spacing w:val="10"/>
          <w:w w:val="115"/>
          <w:sz w:val="28"/>
          <w:szCs w:val="28"/>
          <w:lang w:eastAsia="ru-RU"/>
        </w:rPr>
      </w:pPr>
      <w:r w:rsidRPr="00775C74">
        <w:rPr>
          <w:rFonts w:ascii="Times New Roman" w:eastAsia="Times New Roman" w:hAnsi="Times New Roman"/>
          <w:b/>
          <w:bCs/>
          <w:noProof/>
          <w:spacing w:val="10"/>
          <w:w w:val="115"/>
          <w:sz w:val="28"/>
          <w:szCs w:val="28"/>
          <w:lang w:eastAsia="ru-RU"/>
        </w:rPr>
        <w:t>ГОРОДСКОЙ ОКРУГ ЛЮБЕРЦЫ</w:t>
      </w:r>
      <w:r w:rsidRPr="00775C74">
        <w:rPr>
          <w:rFonts w:ascii="Times New Roman" w:eastAsia="Times New Roman" w:hAnsi="Times New Roman"/>
          <w:b/>
          <w:bCs/>
          <w:spacing w:val="10"/>
          <w:w w:val="115"/>
          <w:sz w:val="28"/>
          <w:szCs w:val="28"/>
          <w:lang w:eastAsia="ru-RU"/>
        </w:rPr>
        <w:br/>
      </w:r>
      <w:r w:rsidRPr="00775C74">
        <w:rPr>
          <w:rFonts w:ascii="Times New Roman" w:eastAsia="Times New Roman" w:hAnsi="Times New Roman"/>
          <w:b/>
          <w:bCs/>
          <w:noProof/>
          <w:spacing w:val="10"/>
          <w:w w:val="115"/>
          <w:sz w:val="28"/>
          <w:szCs w:val="28"/>
          <w:lang w:eastAsia="ru-RU"/>
        </w:rPr>
        <w:t>МОСКОВСКОЙ ОБЛАСТИ</w:t>
      </w:r>
    </w:p>
    <w:p w:rsidR="00D3135C" w:rsidRPr="00775C74" w:rsidRDefault="00D3135C" w:rsidP="00D3135C">
      <w:pPr>
        <w:spacing w:after="0" w:line="240" w:lineRule="auto"/>
        <w:ind w:left="-1701" w:right="-85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3135C" w:rsidRPr="00775C74" w:rsidRDefault="00D3135C" w:rsidP="00D3135C">
      <w:pPr>
        <w:spacing w:after="0" w:line="240" w:lineRule="auto"/>
        <w:ind w:left="-1701" w:right="-85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775C74">
        <w:rPr>
          <w:rFonts w:ascii="Times New Roman" w:hAnsi="Times New Roman"/>
          <w:b/>
          <w:sz w:val="32"/>
          <w:szCs w:val="32"/>
          <w:lang w:eastAsia="ru-RU"/>
        </w:rPr>
        <w:t>РЕШЕНИЕ</w:t>
      </w:r>
    </w:p>
    <w:p w:rsidR="00D3135C" w:rsidRPr="00775C74" w:rsidRDefault="00D3135C" w:rsidP="00D3135C">
      <w:pPr>
        <w:spacing w:after="0" w:line="240" w:lineRule="auto"/>
        <w:ind w:left="-1701" w:right="-85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3135C" w:rsidRPr="00775C74" w:rsidRDefault="00D3135C" w:rsidP="00D3135C">
      <w:pPr>
        <w:spacing w:after="0" w:line="240" w:lineRule="auto"/>
        <w:ind w:left="-1701" w:right="-85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5C74">
        <w:rPr>
          <w:rFonts w:ascii="Times New Roman" w:hAnsi="Times New Roman"/>
          <w:sz w:val="24"/>
          <w:szCs w:val="24"/>
          <w:lang w:eastAsia="ru-RU"/>
        </w:rPr>
        <w:t xml:space="preserve">13.11.2024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  <w:lang w:eastAsia="ru-RU"/>
        </w:rPr>
        <w:t>192</w:t>
      </w:r>
      <w:r w:rsidRPr="00775C74">
        <w:rPr>
          <w:rFonts w:ascii="Times New Roman" w:hAnsi="Times New Roman"/>
          <w:sz w:val="24"/>
          <w:szCs w:val="24"/>
          <w:lang w:eastAsia="ru-RU"/>
        </w:rPr>
        <w:t>/31</w:t>
      </w:r>
    </w:p>
    <w:p w:rsidR="00D3135C" w:rsidRPr="00775C74" w:rsidRDefault="00D3135C" w:rsidP="00D3135C">
      <w:pPr>
        <w:spacing w:after="0" w:line="240" w:lineRule="auto"/>
        <w:ind w:left="-1701" w:right="-85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3135C" w:rsidRDefault="00D3135C" w:rsidP="00D3135C">
      <w:pPr>
        <w:spacing w:after="0" w:line="240" w:lineRule="auto"/>
        <w:ind w:left="-1701" w:right="-850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775C74">
        <w:rPr>
          <w:rFonts w:ascii="Times New Roman" w:eastAsia="Times New Roman" w:hAnsi="Times New Roman"/>
          <w:b/>
          <w:sz w:val="24"/>
          <w:szCs w:val="20"/>
          <w:lang w:eastAsia="ru-RU"/>
        </w:rPr>
        <w:t>г. Люберцы</w:t>
      </w:r>
    </w:p>
    <w:p w:rsidR="005F559E" w:rsidRPr="00503643" w:rsidRDefault="005F559E" w:rsidP="00D313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05B1B" w:rsidRPr="00E03670" w:rsidRDefault="002B3383" w:rsidP="00005B1B">
      <w:pPr>
        <w:pStyle w:val="ConsPlusTitle"/>
        <w:jc w:val="center"/>
        <w:rPr>
          <w:bCs w:val="0"/>
        </w:rPr>
      </w:pPr>
      <w:r w:rsidRPr="002B3383">
        <w:rPr>
          <w:bCs w:val="0"/>
        </w:rPr>
        <w:t>О внесении изменений в Методику расчета платы за вырубку зеленых насаждений и исчисления размера вреда, причиненного их уничтожением, повреждением на территории городского округа Люберцы, утвержденную Решением Совета депутатов городского округа Люберцы Московской области от 16.05.2018 № 200/21</w:t>
      </w:r>
      <w:r w:rsidR="00005B1B">
        <w:rPr>
          <w:bCs w:val="0"/>
        </w:rPr>
        <w:t xml:space="preserve"> </w:t>
      </w:r>
    </w:p>
    <w:p w:rsidR="00005B1B" w:rsidRDefault="00005B1B" w:rsidP="00005B1B">
      <w:pPr>
        <w:pStyle w:val="ConsPlusTitle"/>
        <w:jc w:val="center"/>
      </w:pPr>
    </w:p>
    <w:p w:rsidR="00005B1B" w:rsidRPr="007423F9" w:rsidRDefault="007423F9" w:rsidP="007423F9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 xml:space="preserve"> </w:t>
      </w:r>
      <w:r w:rsidR="00516664">
        <w:rPr>
          <w:b w:val="0"/>
        </w:rPr>
        <w:t xml:space="preserve"> В</w:t>
      </w:r>
      <w:r w:rsidR="00005B1B" w:rsidRPr="009B57BA">
        <w:t xml:space="preserve"> </w:t>
      </w:r>
      <w:r w:rsidR="00005B1B" w:rsidRPr="007423F9">
        <w:rPr>
          <w:b w:val="0"/>
        </w:rPr>
        <w:t>соответствии с Федеральным</w:t>
      </w:r>
      <w:r w:rsidRPr="007423F9">
        <w:rPr>
          <w:b w:val="0"/>
        </w:rPr>
        <w:t xml:space="preserve"> законом от 06.10.2003 </w:t>
      </w:r>
      <w:r>
        <w:rPr>
          <w:b w:val="0"/>
        </w:rPr>
        <w:br/>
      </w:r>
      <w:r w:rsidRPr="007423F9">
        <w:rPr>
          <w:b w:val="0"/>
        </w:rPr>
        <w:t xml:space="preserve">№ 131-ФЗ </w:t>
      </w:r>
      <w:r w:rsidR="00005B1B" w:rsidRPr="007423F9">
        <w:rPr>
          <w:b w:val="0"/>
        </w:rPr>
        <w:t xml:space="preserve">«Об общих принципах организации местного самоуправления </w:t>
      </w:r>
      <w:r>
        <w:rPr>
          <w:b w:val="0"/>
        </w:rPr>
        <w:br/>
      </w:r>
      <w:r w:rsidR="00005B1B" w:rsidRPr="007423F9">
        <w:rPr>
          <w:b w:val="0"/>
        </w:rPr>
        <w:t xml:space="preserve">в Российской Федерации», Законом Московской области от 30.12.2014 </w:t>
      </w:r>
      <w:r>
        <w:rPr>
          <w:b w:val="0"/>
        </w:rPr>
        <w:br/>
      </w:r>
      <w:r w:rsidR="00005B1B" w:rsidRPr="007423F9">
        <w:rPr>
          <w:b w:val="0"/>
        </w:rPr>
        <w:t>№ 191/2014-ОЗ</w:t>
      </w:r>
      <w:r>
        <w:rPr>
          <w:b w:val="0"/>
        </w:rPr>
        <w:t xml:space="preserve"> </w:t>
      </w:r>
      <w:r w:rsidR="00005B1B" w:rsidRPr="007423F9">
        <w:rPr>
          <w:b w:val="0"/>
        </w:rPr>
        <w:t>«О регулировании дополнительных в</w:t>
      </w:r>
      <w:r>
        <w:rPr>
          <w:b w:val="0"/>
        </w:rPr>
        <w:t xml:space="preserve">опросов в сфере благоустройства </w:t>
      </w:r>
      <w:r w:rsidR="00005B1B" w:rsidRPr="007423F9">
        <w:rPr>
          <w:b w:val="0"/>
        </w:rPr>
        <w:t>в Московской области», Уставом муниципального образования городской округ Люберцы Московской области</w:t>
      </w:r>
      <w:r w:rsidR="00005B1B" w:rsidRPr="007423F9">
        <w:rPr>
          <w:rFonts w:eastAsiaTheme="minorEastAsia"/>
          <w:b w:val="0"/>
        </w:rPr>
        <w:t>,</w:t>
      </w:r>
      <w:r w:rsidR="00516664">
        <w:rPr>
          <w:rFonts w:eastAsiaTheme="minorEastAsia"/>
          <w:b w:val="0"/>
        </w:rPr>
        <w:t xml:space="preserve"> </w:t>
      </w:r>
      <w:r w:rsidR="00516664">
        <w:rPr>
          <w:b w:val="0"/>
        </w:rPr>
        <w:t>в</w:t>
      </w:r>
      <w:r w:rsidR="00516664" w:rsidRPr="007423F9">
        <w:rPr>
          <w:b w:val="0"/>
        </w:rPr>
        <w:t xml:space="preserve"> целях изменения коэффициента индексации с учетом ежегодного процента инфляции</w:t>
      </w:r>
      <w:r w:rsidR="00516664">
        <w:rPr>
          <w:b w:val="0"/>
        </w:rPr>
        <w:t>,</w:t>
      </w:r>
      <w:r w:rsidR="00005B1B" w:rsidRPr="007423F9">
        <w:rPr>
          <w:b w:val="0"/>
        </w:rPr>
        <w:t xml:space="preserve"> Совет депутатов муниципального образования городской округ Люберцы Московской области решил:</w:t>
      </w:r>
    </w:p>
    <w:p w:rsidR="00E601EF" w:rsidRPr="00E601EF" w:rsidRDefault="00E601EF" w:rsidP="00E601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01EF" w:rsidRPr="00E601EF" w:rsidRDefault="00E601EF" w:rsidP="00E601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01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Методику расчета платы за вырубку зеленых насаждений </w:t>
      </w:r>
      <w:r w:rsidR="00E3419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601EF">
        <w:rPr>
          <w:rFonts w:ascii="Times New Roman" w:eastAsia="Calibri" w:hAnsi="Times New Roman" w:cs="Times New Roman"/>
          <w:sz w:val="28"/>
          <w:szCs w:val="28"/>
          <w:lang w:eastAsia="ru-RU"/>
        </w:rPr>
        <w:t>и исчисления размера вреда, причиненного их уничтожением, повреждением на территории городского округа Люберцы, утвержденную Решением Совета депутатов городского округа Люберцы от 16.05.2018 № 200/21 (далее-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Методика), следующие изменения:</w:t>
      </w:r>
    </w:p>
    <w:p w:rsidR="009804CE" w:rsidRPr="009804CE" w:rsidRDefault="00516664" w:rsidP="008F77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8F7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7.5 раздела 7 </w:t>
      </w:r>
      <w:r w:rsidR="008F778D" w:rsidRPr="00E601E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8F778D" w:rsidRPr="007F65D5">
        <w:rPr>
          <w:rFonts w:ascii="Times New Roman" w:eastAsia="Calibri" w:hAnsi="Times New Roman" w:cs="Times New Roman"/>
          <w:sz w:val="28"/>
          <w:szCs w:val="28"/>
          <w:lang w:eastAsia="ru-RU"/>
        </w:rPr>
        <w:t>Классификация деревьев для расчета платы</w:t>
      </w:r>
      <w:r w:rsidR="008F7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778D" w:rsidRPr="007F65D5">
        <w:rPr>
          <w:rFonts w:ascii="Times New Roman" w:eastAsia="Calibri" w:hAnsi="Times New Roman" w:cs="Times New Roman"/>
          <w:sz w:val="28"/>
          <w:szCs w:val="28"/>
          <w:lang w:eastAsia="ru-RU"/>
        </w:rPr>
        <w:t>за разрешенную вырубку древес</w:t>
      </w:r>
      <w:r w:rsidR="008F7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но-кустарниковой растительности </w:t>
      </w:r>
      <w:r w:rsidR="008F778D" w:rsidRPr="007F65D5">
        <w:rPr>
          <w:rFonts w:ascii="Times New Roman" w:eastAsia="Calibri" w:hAnsi="Times New Roman" w:cs="Times New Roman"/>
          <w:sz w:val="28"/>
          <w:szCs w:val="28"/>
          <w:lang w:eastAsia="ru-RU"/>
        </w:rPr>
        <w:t>(зеленых насаждений)</w:t>
      </w:r>
      <w:r w:rsidR="008F778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8F778D" w:rsidRPr="00E601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804CE"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Методики изложить в следующей редакции:</w:t>
      </w:r>
    </w:p>
    <w:p w:rsidR="009804CE" w:rsidRPr="009804CE" w:rsidRDefault="009804CE" w:rsidP="00980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«7.5. В случае если поштучный пересчет количества кустарников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в живой изгороди произвести невозможно, то количество кустарников считать равным:</w:t>
      </w:r>
    </w:p>
    <w:p w:rsidR="009804CE" w:rsidRPr="009804CE" w:rsidRDefault="009804CE" w:rsidP="00980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5 шт. - на 1 погонном метре двухрядной изгороди;</w:t>
      </w:r>
    </w:p>
    <w:p w:rsidR="009804CE" w:rsidRPr="009804CE" w:rsidRDefault="009804CE" w:rsidP="00980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3 шт. - на 1 погонном метре однорядной изгороди.</w:t>
      </w:r>
    </w:p>
    <w:p w:rsidR="009804CE" w:rsidRPr="009804CE" w:rsidRDefault="009804CE" w:rsidP="00980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Расчет платы за разрешенную вырубку деревьев, кустарников</w:t>
      </w:r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повреждение (уничтожение) газона или естественного травяного покрова производится отдельно для каждой группы с последующим суммированием результатов.</w:t>
      </w:r>
    </w:p>
    <w:p w:rsidR="009804CE" w:rsidRPr="009804CE" w:rsidRDefault="009804CE" w:rsidP="00980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Расчёт платы за разрешенную (выполняющуюся при наличии оформленного в установленном порядке разрешения) вырубку деревьев, кустарников, уничтожение естественного травяного покрова на территории городского округа Люберцы Московской области производится по формуле:</w:t>
      </w:r>
    </w:p>
    <w:p w:rsidR="009804CE" w:rsidRPr="009804CE" w:rsidRDefault="009804CE" w:rsidP="00980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ПР = (</w:t>
      </w:r>
      <w:proofErr w:type="spellStart"/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ЗНnхКз</w:t>
      </w:r>
      <w:proofErr w:type="spellEnd"/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х </w:t>
      </w:r>
      <w:proofErr w:type="spellStart"/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Кт</w:t>
      </w:r>
      <w:proofErr w:type="spellEnd"/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 </w:t>
      </w:r>
      <w:proofErr w:type="spellStart"/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Кв</w:t>
      </w:r>
      <w:proofErr w:type="spellEnd"/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 </w:t>
      </w:r>
      <w:proofErr w:type="spellStart"/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Кф</w:t>
      </w:r>
      <w:proofErr w:type="spellEnd"/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 Ки х П,</w:t>
      </w:r>
    </w:p>
    <w:p w:rsidR="009804CE" w:rsidRPr="009804CE" w:rsidRDefault="009804CE" w:rsidP="00980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:rsidR="009804CE" w:rsidRPr="009804CE" w:rsidRDefault="009804CE" w:rsidP="00980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ПР - плата за разрешенную вырубку деревьев, кустарников, уничтожение газона или естественного травяного покрова в руб.;</w:t>
      </w:r>
    </w:p>
    <w:p w:rsidR="009804CE" w:rsidRPr="009804CE" w:rsidRDefault="009804CE" w:rsidP="00980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ЗНn - стоимость посадочного материала и ухода за ним с учетом классификации группы зеленых насаждений;</w:t>
      </w:r>
    </w:p>
    <w:p w:rsidR="009804CE" w:rsidRPr="009804CE" w:rsidRDefault="009804CE" w:rsidP="00980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Кз</w:t>
      </w:r>
      <w:proofErr w:type="spellEnd"/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- коэффициент поправки на социально-экологическую значимость зеленых насаждений:</w:t>
      </w:r>
    </w:p>
    <w:p w:rsidR="009804CE" w:rsidRPr="009804CE" w:rsidRDefault="009804CE" w:rsidP="00980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2- для памятников садово-паркового искусства;</w:t>
      </w:r>
    </w:p>
    <w:p w:rsidR="009804CE" w:rsidRPr="009804CE" w:rsidRDefault="009804CE" w:rsidP="00980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1,5 – для всех категорий особо охраняемых природных территорий (включая зеленые насаждения естественного происхождения)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(в соответствии со схемой особо охраняемых природных территорий);</w:t>
      </w:r>
    </w:p>
    <w:p w:rsidR="009804CE" w:rsidRPr="009804CE" w:rsidRDefault="009804CE" w:rsidP="00980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1 – для озелененных территорий общего пользования;</w:t>
      </w:r>
    </w:p>
    <w:p w:rsidR="009804CE" w:rsidRPr="009804CE" w:rsidRDefault="009804CE" w:rsidP="00980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0,5 – для остальных категорий зеленых насаждений;</w:t>
      </w:r>
    </w:p>
    <w:p w:rsidR="009804CE" w:rsidRPr="009804CE" w:rsidRDefault="009804CE" w:rsidP="00980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Кв</w:t>
      </w:r>
      <w:proofErr w:type="spellEnd"/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коэффициент поправки на </w:t>
      </w:r>
      <w:proofErr w:type="spellStart"/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водоохранную</w:t>
      </w:r>
      <w:proofErr w:type="spellEnd"/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ценность зеленых насаждений:</w:t>
      </w:r>
    </w:p>
    <w:p w:rsidR="009804CE" w:rsidRPr="009804CE" w:rsidRDefault="009804CE" w:rsidP="00980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2- для зеленых насаждений, расположенных в 50-метровой зоне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от уреза воды по обеим сторонам открытого водотока (водоема);</w:t>
      </w:r>
    </w:p>
    <w:p w:rsidR="009804CE" w:rsidRPr="009804CE" w:rsidRDefault="009804CE" w:rsidP="00980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1 – остальных категорий зеленых насаждений.</w:t>
      </w:r>
    </w:p>
    <w:p w:rsidR="009804CE" w:rsidRPr="009804CE" w:rsidRDefault="009804CE" w:rsidP="00980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Кт</w:t>
      </w:r>
      <w:proofErr w:type="spellEnd"/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– значения коэффициента </w:t>
      </w:r>
      <w:proofErr w:type="spellStart"/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Кт</w:t>
      </w:r>
      <w:proofErr w:type="spellEnd"/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определяются по таблице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(при уничтожении дерева диаметр его принимается равным диаметру оставленного пня):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9"/>
        <w:gridCol w:w="2315"/>
        <w:gridCol w:w="2385"/>
        <w:gridCol w:w="2316"/>
      </w:tblGrid>
      <w:tr w:rsidR="009804CE" w:rsidRPr="009804CE" w:rsidTr="008F778D"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4CE" w:rsidRPr="009804CE" w:rsidRDefault="008F778D" w:rsidP="008F7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Диаметр         </w:t>
            </w:r>
            <w:r w:rsidR="009804CE"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дерева, м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CE" w:rsidRPr="009804CE" w:rsidRDefault="009804CE" w:rsidP="009804C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Кт</w:t>
            </w:r>
            <w:proofErr w:type="spellEnd"/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8D" w:rsidRDefault="009804CE" w:rsidP="008F7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Диаметр </w:t>
            </w:r>
          </w:p>
          <w:p w:rsidR="009804CE" w:rsidRPr="009804CE" w:rsidRDefault="009804CE" w:rsidP="008F7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дерева</w:t>
            </w:r>
            <w:proofErr w:type="gramEnd"/>
            <w:r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CE" w:rsidRPr="009804CE" w:rsidRDefault="009804CE" w:rsidP="009804C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Кт</w:t>
            </w:r>
            <w:proofErr w:type="spellEnd"/>
          </w:p>
        </w:tc>
      </w:tr>
      <w:tr w:rsidR="009804CE" w:rsidRPr="009804CE" w:rsidTr="009804CE">
        <w:tc>
          <w:tcPr>
            <w:tcW w:w="2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CE" w:rsidRPr="009804CE" w:rsidRDefault="009804CE" w:rsidP="009804C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12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CE" w:rsidRPr="009804CE" w:rsidRDefault="009804CE" w:rsidP="009804C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CE" w:rsidRPr="009804CE" w:rsidRDefault="009804CE" w:rsidP="009804C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41-50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CE" w:rsidRPr="009804CE" w:rsidRDefault="009804CE" w:rsidP="009804C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</w:tr>
      <w:tr w:rsidR="009804CE" w:rsidRPr="009804CE" w:rsidTr="009804CE">
        <w:tc>
          <w:tcPr>
            <w:tcW w:w="2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CE" w:rsidRPr="009804CE" w:rsidRDefault="009804CE" w:rsidP="009804C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12-20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CE" w:rsidRPr="009804CE" w:rsidRDefault="009804CE" w:rsidP="009804C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CE" w:rsidRPr="009804CE" w:rsidRDefault="009804CE" w:rsidP="009804C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51-60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CE" w:rsidRPr="009804CE" w:rsidRDefault="009804CE" w:rsidP="009804C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9804CE" w:rsidRPr="009804CE" w:rsidTr="009804CE">
        <w:tc>
          <w:tcPr>
            <w:tcW w:w="2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CE" w:rsidRPr="009804CE" w:rsidRDefault="009804CE" w:rsidP="009804C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21-30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CE" w:rsidRPr="009804CE" w:rsidRDefault="009804CE" w:rsidP="009804C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CE" w:rsidRPr="009804CE" w:rsidRDefault="009804CE" w:rsidP="009804C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61-70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CE" w:rsidRPr="009804CE" w:rsidRDefault="009804CE" w:rsidP="009804C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</w:tr>
      <w:tr w:rsidR="009804CE" w:rsidRPr="009804CE" w:rsidTr="009804CE">
        <w:tc>
          <w:tcPr>
            <w:tcW w:w="2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CE" w:rsidRPr="009804CE" w:rsidRDefault="009804CE" w:rsidP="009804C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31-40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CE" w:rsidRPr="009804CE" w:rsidRDefault="009804CE" w:rsidP="009804C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CE" w:rsidRPr="009804CE" w:rsidRDefault="009804CE" w:rsidP="009804C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более 70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CE" w:rsidRPr="009804CE" w:rsidRDefault="009804CE" w:rsidP="009804C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</w:tbl>
    <w:p w:rsidR="009804CE" w:rsidRPr="009804CE" w:rsidRDefault="009804CE" w:rsidP="00980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9804CE" w:rsidRPr="009804CE" w:rsidRDefault="009804CE" w:rsidP="00980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Кф</w:t>
      </w:r>
      <w:proofErr w:type="spellEnd"/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коэфффициент</w:t>
      </w:r>
      <w:proofErr w:type="spellEnd"/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поправки, учитывающего фактическое состояние зеленых насаждений: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3859"/>
        <w:gridCol w:w="2368"/>
      </w:tblGrid>
      <w:tr w:rsidR="009804CE" w:rsidRPr="009804CE" w:rsidTr="009804CE">
        <w:tc>
          <w:tcPr>
            <w:tcW w:w="7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4CE" w:rsidRPr="009804CE" w:rsidRDefault="009804CE" w:rsidP="008F778D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Состояние зеленых насаждений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4CE" w:rsidRPr="009804CE" w:rsidRDefault="009804CE" w:rsidP="008F7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Значение коэффициента, </w:t>
            </w:r>
            <w:proofErr w:type="spellStart"/>
            <w:r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Кф</w:t>
            </w:r>
            <w:proofErr w:type="spellEnd"/>
          </w:p>
        </w:tc>
      </w:tr>
      <w:tr w:rsidR="009804CE" w:rsidRPr="009804CE" w:rsidTr="009804CE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4CE" w:rsidRPr="009804CE" w:rsidRDefault="009804CE" w:rsidP="00CF2696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Условно здоровые (хорошее)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CE" w:rsidRPr="009804CE" w:rsidRDefault="00CF2696" w:rsidP="00CF26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77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Равномерно развитая </w:t>
            </w:r>
            <w:r w:rsidR="009804CE"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</w:t>
            </w:r>
            <w:r w:rsidR="008F77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она, листья или хвоя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нормальной окраски, </w:t>
            </w:r>
            <w:r w:rsidR="009804CE"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отсутствие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повреждений ствола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скелетных ветвей, отсутствие признаков болезней и вредителей, отсутствие дупел и </w:t>
            </w:r>
            <w:r w:rsidR="009804CE"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повреждений коры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4CE" w:rsidRPr="009804CE" w:rsidRDefault="009804CE" w:rsidP="009804C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1,0</w:t>
            </w:r>
          </w:p>
        </w:tc>
      </w:tr>
      <w:tr w:rsidR="009804CE" w:rsidRPr="009804CE" w:rsidTr="009804CE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4CE" w:rsidRPr="009804CE" w:rsidRDefault="009804CE" w:rsidP="008F778D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Ослабленные (удовлетворительное)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CE" w:rsidRPr="009804CE" w:rsidRDefault="009804CE" w:rsidP="00CF26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Неравномерно развитая крона, наличие незначительных механических повреждений ствола и небольших дупел, замедленный рост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4CE" w:rsidRPr="009804CE" w:rsidRDefault="009804CE" w:rsidP="009804C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9804CE" w:rsidRPr="009804CE" w:rsidTr="009804CE">
        <w:tc>
          <w:tcPr>
            <w:tcW w:w="3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4CE" w:rsidRPr="009804CE" w:rsidRDefault="009804CE" w:rsidP="008F7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Сильно ослабленные (неудовлетворительное)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4CE" w:rsidRPr="009804CE" w:rsidRDefault="00CF2696" w:rsidP="00CF26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Слабо развитая крона, незначительный прирост </w:t>
            </w:r>
            <w:r w:rsidR="009804CE"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однолетних побег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ов, искривленный ствол, наличие </w:t>
            </w:r>
            <w:r w:rsidR="009804CE"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усыхающих или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усохших ветвей, значительные </w:t>
            </w:r>
            <w:r w:rsidR="009804CE"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механичес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кие повреждения ствола, наличие </w:t>
            </w:r>
            <w:r w:rsidR="009804CE"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множественных дупел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4CE" w:rsidRPr="009804CE" w:rsidRDefault="009804CE" w:rsidP="009804C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04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</w:tbl>
    <w:p w:rsidR="009804CE" w:rsidRPr="009804CE" w:rsidRDefault="009804CE" w:rsidP="00980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9804CE" w:rsidRPr="009804CE" w:rsidRDefault="009804CE" w:rsidP="00980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Ки - коэффициент индексации устанавливается в размере:</w:t>
      </w:r>
    </w:p>
    <w:p w:rsidR="009804CE" w:rsidRPr="009804CE" w:rsidRDefault="009804CE" w:rsidP="00980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5,44 – для деревьев всех категорий;</w:t>
      </w:r>
    </w:p>
    <w:p w:rsidR="009804CE" w:rsidRPr="009804CE" w:rsidRDefault="009804CE" w:rsidP="00980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5,00 – для кустарников;</w:t>
      </w:r>
    </w:p>
    <w:p w:rsidR="009804CE" w:rsidRPr="009804CE" w:rsidRDefault="009804CE" w:rsidP="00980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1,41 – для газона и естественного травяного покрова.</w:t>
      </w:r>
    </w:p>
    <w:p w:rsidR="009804CE" w:rsidRPr="009804CE" w:rsidRDefault="009804CE" w:rsidP="00980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П - количе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ство деревьев (шт.) одного вида</w:t>
      </w:r>
      <w:r w:rsidRPr="009804CE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E601EF" w:rsidRPr="00E601EF" w:rsidRDefault="00E601EF" w:rsidP="00980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01EF">
        <w:rPr>
          <w:rFonts w:ascii="Times New Roman" w:eastAsia="Calibri" w:hAnsi="Times New Roman" w:cs="Times New Roman"/>
          <w:sz w:val="28"/>
          <w:szCs w:val="28"/>
          <w:lang w:eastAsia="ru-RU"/>
        </w:rPr>
        <w:t>2. Опубликовать настоящее Решение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средствах массовой информации.</w:t>
      </w:r>
    </w:p>
    <w:p w:rsidR="002B3383" w:rsidRDefault="00E601EF" w:rsidP="00E601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01EF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Решение вступает в силу с момента его официального опубликования.</w:t>
      </w:r>
    </w:p>
    <w:p w:rsidR="00005B1B" w:rsidRPr="004F253E" w:rsidRDefault="002B3383" w:rsidP="00E60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="00005B1B" w:rsidRPr="004F25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Контроль за исполнением настоящего Решения возложить </w:t>
      </w:r>
      <w:r w:rsidR="00005B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="00005B1B" w:rsidRPr="004F25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постоянную депутатскую комиссию по жилищно-коммунальному хозяйству, благоустройству, вопросам экологии и </w:t>
      </w:r>
      <w:r w:rsidR="00005B1B" w:rsidRPr="00694E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транспорта (</w:t>
      </w:r>
      <w:r w:rsidR="00005B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Веснин Е.О.</w:t>
      </w:r>
      <w:r w:rsidR="00005B1B" w:rsidRPr="00694E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).</w:t>
      </w:r>
    </w:p>
    <w:p w:rsidR="00005B1B" w:rsidRPr="004F253E" w:rsidRDefault="00005B1B" w:rsidP="0000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5B1B" w:rsidRDefault="00005B1B" w:rsidP="0000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04CE" w:rsidRPr="004F253E" w:rsidRDefault="009804CE" w:rsidP="0000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5B1B" w:rsidRPr="00B26610" w:rsidRDefault="00005B1B" w:rsidP="00005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6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B2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Волков                                                        </w:t>
      </w:r>
    </w:p>
    <w:p w:rsidR="00005B1B" w:rsidRPr="00013397" w:rsidRDefault="00005B1B" w:rsidP="00005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05B1B" w:rsidRDefault="00005B1B" w:rsidP="00005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      В.П.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ужицкий</w:t>
      </w:r>
    </w:p>
    <w:p w:rsidR="00630E8F" w:rsidRDefault="00630E8F" w:rsidP="00005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B3383" w:rsidRDefault="002B3383" w:rsidP="00005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B3383" w:rsidRDefault="002B3383" w:rsidP="00005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B3383" w:rsidRDefault="002B3383" w:rsidP="00005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B3383" w:rsidRDefault="002B3383" w:rsidP="00005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B3383" w:rsidRDefault="002B3383" w:rsidP="00005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8F778D" w:rsidRDefault="008F778D" w:rsidP="00005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B3383" w:rsidRDefault="002B3383" w:rsidP="009804C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sectPr w:rsidR="002B3383" w:rsidSect="009804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1B"/>
    <w:rsid w:val="00005B1B"/>
    <w:rsid w:val="00031796"/>
    <w:rsid w:val="0009592B"/>
    <w:rsid w:val="000A5AB6"/>
    <w:rsid w:val="00132675"/>
    <w:rsid w:val="001B06AA"/>
    <w:rsid w:val="001E030F"/>
    <w:rsid w:val="00297EE3"/>
    <w:rsid w:val="002B3383"/>
    <w:rsid w:val="003D6E26"/>
    <w:rsid w:val="00516664"/>
    <w:rsid w:val="00573815"/>
    <w:rsid w:val="005C0A28"/>
    <w:rsid w:val="005F559E"/>
    <w:rsid w:val="00630E8F"/>
    <w:rsid w:val="006D18A1"/>
    <w:rsid w:val="006E28E1"/>
    <w:rsid w:val="007321CF"/>
    <w:rsid w:val="007423F9"/>
    <w:rsid w:val="00771BA7"/>
    <w:rsid w:val="007F65D5"/>
    <w:rsid w:val="008F778D"/>
    <w:rsid w:val="00905A4B"/>
    <w:rsid w:val="00961347"/>
    <w:rsid w:val="009804CE"/>
    <w:rsid w:val="009C1393"/>
    <w:rsid w:val="00BA2580"/>
    <w:rsid w:val="00CF2696"/>
    <w:rsid w:val="00D3135C"/>
    <w:rsid w:val="00E14FC7"/>
    <w:rsid w:val="00E34196"/>
    <w:rsid w:val="00E601EF"/>
    <w:rsid w:val="00FC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EC26F-E910-4206-B51F-C9271B18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05B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005B1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05B1B"/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C1393"/>
    <w:pPr>
      <w:ind w:left="720"/>
      <w:contextualSpacing/>
    </w:pPr>
  </w:style>
  <w:style w:type="paragraph" w:customStyle="1" w:styleId="consplusnormal">
    <w:name w:val="consplusnormal"/>
    <w:basedOn w:val="a"/>
    <w:rsid w:val="0098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8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3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Галина-малина</cp:lastModifiedBy>
  <cp:revision>2</cp:revision>
  <cp:lastPrinted>2024-09-26T12:32:00Z</cp:lastPrinted>
  <dcterms:created xsi:type="dcterms:W3CDTF">2024-11-18T11:10:00Z</dcterms:created>
  <dcterms:modified xsi:type="dcterms:W3CDTF">2024-11-18T11:10:00Z</dcterms:modified>
</cp:coreProperties>
</file>