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АДМИНИСТРАЦИЯ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МУНИЦИПАЛЬНОГО ОБРАЗОВАНИЯ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ГОРОДСКОЙ ОКРУГ ЛЮБЕРЦЫ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МОСКОВСКОЙ ОБЛАСТИ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ПОСТАНОВЛЕНИЕ</w:t>
      </w:r>
    </w:p>
    <w:p>
      <w:pPr>
        <w:pStyle w:val="Normal"/>
        <w:ind w:left="0" w:right="-285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27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9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.202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№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321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-ПА</w:t>
      </w:r>
    </w:p>
    <w:p>
      <w:pPr>
        <w:pStyle w:val="Normal"/>
        <w:ind w:left="0" w:right="-285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г. Люберцы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  <w:t>Об утверждении Плана действий по ликвидации последствий аварийных ситуаций с применением электронного моделирования аварийных ситуаций в системе теплоснабжения на территории городского округа Люберцы</w:t>
      </w:r>
      <w:bookmarkStart w:id="0" w:name="_Hlk83307129"/>
      <w:bookmarkEnd w:id="0"/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1" w:name="_Hlk83293767"/>
      <w:bookmarkStart w:id="2" w:name="_Hlk83293767"/>
      <w:bookmarkEnd w:id="2"/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      «О теплоснабжении», Федеральным законом от 11.11.1994 № 68-ФЗ                            «О защите населения и территорий от чрезвычайных ситуаций природного                и техногенного характера», Приказом Министерства чрезвычайных ситуаций Российской Федерации от 08.07.2004</w:t>
        <w:tab/>
        <w:t>№ 329 «Об утверждении критериев информации о чрезвычайных ситуациях», Приказом Министерства энергетики Российской Федерации от 12.03.2013 № 103 «Об утверждении правил оценки готовности к отопительному периоду»,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17.09.2021 № 256-РГ/к «Об убытии в отпуск», 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 Утвердить План действий по ликвидации последствий аварийных ситуаций с применением электронного моделирования аварийных ситуаций в системе теплоснабжения на территории городского округа Люберцы (прилагается).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4. Контроль  за   исполнением  настоящего  Постановления возложить                         на заместителя Главы администрации Власова В.И.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И.о. Главы городского округа                                                                И.Г. Назарьева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Style w:val="a3"/>
        <w:tblW w:w="4247" w:type="dxa"/>
        <w:jc w:val="left"/>
        <w:tblInd w:w="50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</w:tblGrid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Утвержден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Постановлением администрации муниципального образования городской округ Люберцы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от 27.09.2021 № 3212-ПА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38"/>
        <w:shd w:val="clear" w:color="auto" w:fill="auto"/>
        <w:spacing w:lineRule="exact" w:line="312" w:before="0" w:after="374"/>
        <w:ind w:left="920" w:firstLine="400"/>
        <w:jc w:val="center"/>
        <w:rPr>
          <w:color w:val="000000"/>
          <w:sz w:val="28"/>
          <w:szCs w:val="28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План действий по ликвидации последствий аварийных ситуаций с применением электронного моделирования  аварийных ситуаций       в системе теплоснабжения городского округа Люберцы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45" w:leader="none"/>
        </w:tabs>
        <w:spacing w:lineRule="exact" w:line="220" w:before="0" w:after="164"/>
        <w:ind w:firstLine="760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Общие положения</w:t>
      </w:r>
    </w:p>
    <w:p>
      <w:pPr>
        <w:pStyle w:val="214"/>
        <w:shd w:val="clear" w:color="auto" w:fill="auto"/>
        <w:tabs>
          <w:tab w:val="clear" w:pos="709"/>
          <w:tab w:val="left" w:pos="567" w:leader="none"/>
          <w:tab w:val="left" w:pos="1276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 xml:space="preserve">1.1. </w:t>
      </w:r>
      <w:r>
        <w:rPr>
          <w:rFonts w:ascii="Arial" w:hAnsi="Arial"/>
          <w:sz w:val="24"/>
          <w:szCs w:val="24"/>
        </w:rPr>
        <w:t xml:space="preserve">План действий по ликвидации последствий аварийных ситуаций                       с применением электронного моделирования аварийных ситуаций                                        в системе теплоснабжения на территории городского округа Люберцы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(далее - План) разработан в целях координации деятельности должностных лиц Администрации муниципального образования  городской округ Люберцы (далее – Администрация), ресурсоснабжающих организаций, управляющих организаций, товариществ собственников жилья, потребителей тепловой энергии при решении вопросов, связанных с ликвидацией последствий аварийных ситуаций на системах теплоснабжения городского округа Люберцы.</w:t>
      </w:r>
    </w:p>
    <w:p>
      <w:pPr>
        <w:pStyle w:val="214"/>
        <w:shd w:val="clear" w:color="auto" w:fill="auto"/>
        <w:tabs>
          <w:tab w:val="clear" w:pos="709"/>
          <w:tab w:val="left" w:pos="567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1.2. В настоящем Плане под аварийной ситуацией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 (мощности).</w:t>
      </w:r>
    </w:p>
    <w:p>
      <w:pPr>
        <w:pStyle w:val="214"/>
        <w:shd w:val="clear" w:color="auto" w:fill="auto"/>
        <w:tabs>
          <w:tab w:val="clear" w:pos="709"/>
          <w:tab w:val="left" w:pos="567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1.3. К перечню возможных последствий аварийных ситуаций (чрезвычайных ситуаций) на тепловых сетях и источниках тепловой энергии относятся:</w:t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- кратковременное нарушение теплоснабжения населения, объектов социальной сферы;</w:t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- полное ограничение режима потребления тепловой энергии для населения, объектов социальной сферы;</w:t>
      </w:r>
    </w:p>
    <w:p>
      <w:pPr>
        <w:pStyle w:val="214"/>
        <w:shd w:val="clear" w:color="auto" w:fill="auto"/>
        <w:tabs>
          <w:tab w:val="clear" w:pos="709"/>
          <w:tab w:val="left" w:pos="1701" w:leader="none"/>
        </w:tabs>
        <w:spacing w:lineRule="exact" w:line="312" w:before="0" w:after="0"/>
        <w:ind w:left="567" w:hanging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- причинение вреда третьим лицам;</w:t>
      </w:r>
    </w:p>
    <w:p>
      <w:pPr>
        <w:pStyle w:val="214"/>
        <w:shd w:val="clear" w:color="auto" w:fill="auto"/>
        <w:tabs>
          <w:tab w:val="clear" w:pos="709"/>
          <w:tab w:val="left" w:pos="567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- разрушение объектов теплоснабжения (котлов, тепловых сетей, котельных);</w:t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        </w:t>
      </w:r>
      <w:r>
        <w:rPr>
          <w:rFonts w:ascii="Arial" w:hAnsi="Arial"/>
          <w:color w:val="000000"/>
          <w:sz w:val="24"/>
          <w:szCs w:val="24"/>
          <w:lang w:eastAsia="ru-RU" w:bidi="ru-RU"/>
        </w:rPr>
        <w:t>- отсутствие теплоснабжения более 24 часов (одни сутки).</w:t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1.4. Основными задачами Администрации являются обеспечение устойчивого теплоснабжения потребителей, поддержание необходимых параметров энергоносителей и обеспечение нормального температурного режима в зданиях.</w:t>
      </w:r>
    </w:p>
    <w:p>
      <w:pPr>
        <w:pStyle w:val="214"/>
        <w:shd w:val="clear" w:color="auto" w:fill="auto"/>
        <w:tabs>
          <w:tab w:val="clear" w:pos="709"/>
          <w:tab w:val="left" w:pos="1227" w:leader="none"/>
        </w:tabs>
        <w:spacing w:lineRule="exact" w:line="312" w:before="0" w:after="0"/>
        <w:ind w:left="760" w:hanging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1.5. Обязанности теплоснабжающих организаций: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2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организовать круглосуточную работу дежурно-диспетчерской службы (далее - ДДС) или заключить договоры с соответствующими организациями;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2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разработать и утвердить инструкции с разработанным оперативным планом действий при технологических нарушениях, ограничениях и отключениях потребителей при временном недостатке энергоресурсов или топлива;</w:t>
      </w:r>
    </w:p>
    <w:p>
      <w:pPr>
        <w:pStyle w:val="214"/>
        <w:numPr>
          <w:ilvl w:val="3"/>
          <w:numId w:val="3"/>
        </w:numPr>
        <w:shd w:val="clear" w:color="auto" w:fill="auto"/>
        <w:tabs>
          <w:tab w:val="clear" w:pos="709"/>
          <w:tab w:val="left" w:pos="92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при получении информации о технологических нарушениях на инженерно         -технических сетях или нарушениях установленных режимов энергосбережения обеспечить выезд на место своих представителей;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28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производить работы по ликвидации аварии на обслуживаемых инженерных сетях в минимально установленные сроки;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принимать меры по охране опасных зон (место аварии необходимо оградить, обозначить знаком и обеспечить постоянное наблюдение в целях предупреждения случайного попадания пешеходов и транспортных средств в опасную зону);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1166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доводить до диспетчера отдела единой дежурно-диспетчерской службы</w:t>
      </w:r>
    </w:p>
    <w:p>
      <w:pPr>
        <w:pStyle w:val="214"/>
        <w:shd w:val="clear" w:color="auto" w:fill="auto"/>
        <w:tabs>
          <w:tab w:val="clear" w:pos="709"/>
          <w:tab w:val="left" w:pos="5842" w:leader="dot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муниципального  образования городской округ Люберцы (далее - ЕДДС) информацию о прекращении или ограничении подачи теплоносителя, длительности отключения с указанием причин, принимаемых мерах и сроках устранения, привлекаемых силах и средствах.</w:t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1.6.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>
      <w:pPr>
        <w:pStyle w:val="214"/>
        <w:shd w:val="clear" w:color="auto" w:fill="auto"/>
        <w:tabs>
          <w:tab w:val="left" w:pos="709" w:leader="none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 xml:space="preserve"> 1.7. Исполнители коммунальных услуг и потребители должны обеспечивать: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1166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своевременное и качественное техническое обслуживание и ремонт теплопотребляющих систем, а также разработку и выполнение, согласно договору на пользование тепловой энергией, графиков ограничения и отключения теплопотребляющих установок при временном недостатке тепловой мощности или топлива на источниках теплоснабжения;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374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допуск работников специализированных организаций, с которыми заключены договоры на техническое обслуживание и ремонт теплопотребляющих систем, на объекты в любое время суток.</w:t>
      </w:r>
    </w:p>
    <w:p>
      <w:pPr>
        <w:pStyle w:val="214"/>
        <w:numPr>
          <w:ilvl w:val="0"/>
          <w:numId w:val="2"/>
        </w:numPr>
        <w:shd w:val="clear" w:color="auto" w:fill="auto"/>
        <w:tabs>
          <w:tab w:val="clear" w:pos="709"/>
          <w:tab w:val="left" w:pos="1068" w:leader="none"/>
        </w:tabs>
        <w:spacing w:lineRule="exact" w:line="220" w:before="0" w:after="164"/>
        <w:ind w:firstLine="760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Цели и задачи</w:t>
      </w:r>
    </w:p>
    <w:p>
      <w:pPr>
        <w:pStyle w:val="214"/>
        <w:shd w:val="clear" w:color="auto" w:fill="auto"/>
        <w:tabs>
          <w:tab w:val="clear" w:pos="709"/>
          <w:tab w:val="left" w:pos="1251" w:leader="none"/>
        </w:tabs>
        <w:spacing w:lineRule="exact" w:line="312" w:before="0" w:after="0"/>
        <w:ind w:left="760" w:hanging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2.1. Целями Плана являются: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повышение эффективности, устойчивости и надежности функционирования объектов социальной сферы;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мобилизация усилий по ликвидации технологических нарушений                          и аварийных ситуаций на объектах жилищно-коммунального назначения;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снижение до приемлемого уровня технологических нарушений                               и аварийных ситуаций на объектах жилищно-коммунального назначения;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минимизация последствий возникновения технологических нарушений                   и аварийных ситуаций на объектах жилищно-коммунального назначения.</w:t>
      </w:r>
    </w:p>
    <w:p>
      <w:pPr>
        <w:pStyle w:val="214"/>
        <w:shd w:val="clear" w:color="auto" w:fill="auto"/>
        <w:tabs>
          <w:tab w:val="clear" w:pos="709"/>
          <w:tab w:val="left" w:pos="1251" w:leader="none"/>
        </w:tabs>
        <w:spacing w:lineRule="exact" w:line="312" w:before="0" w:after="0"/>
        <w:ind w:left="760" w:hanging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2.2. Задачами Плана являются: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77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организация работ по локализации и ликвидации аварийных ситуаций;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7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обеспечение работ по локализации и ликвидации аварийных ситуаций материально - техническими ресурсами;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7" w:leader="none"/>
        </w:tabs>
        <w:spacing w:lineRule="exact" w:line="312" w:before="0" w:after="0"/>
        <w:ind w:firstLine="7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932" w:leader="none"/>
        </w:tabs>
        <w:spacing w:lineRule="exact" w:line="312" w:before="0" w:after="0"/>
        <w:ind w:firstLine="76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3. Организация работ</w:t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ab/>
        <w:t>3.1. Организация управления ликвидацией аварий на объектах теплоснабжения.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уровне - руководитель организации, осуществляющей эксплуатацию объекта.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Органами повседневного управления территориальной подсистемы являются: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на муниципальном уровне - ЕДДС по вопросам сбора, обработки и обмена информацией, оперативного реагирования и координации совместных действий ДДС организаций, расположенных на территории муниципального образования, оперативного управления силами и средствами аварийно-спасательных и других сил постоянной готовности в условиях чрезвычайной ситуации (далее - ЧС);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на объектовом уровне - дежурно-диспетчерская служба организации.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>
      <w:pPr>
        <w:pStyle w:val="214"/>
        <w:shd w:val="clear" w:color="auto" w:fill="auto"/>
        <w:tabs>
          <w:tab w:val="clear" w:pos="709"/>
          <w:tab w:val="left" w:pos="1271" w:leader="none"/>
        </w:tabs>
        <w:spacing w:lineRule="exact" w:line="312" w:before="0" w:after="0"/>
        <w:ind w:left="740" w:hanging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3.2. Силы и средства для ликвидации аварий на объектах теплоснабжения.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В режиме повседневной деятельности на объектах теплоснабжения осуществляется дежурство специалистов.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Время готовности к работам по ликвидации аварии - 45 мин.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Для ликвидации аварий создаются и используются: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1002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Резервы финансовых и материальных ресурсов муниципального образования;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1002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Резервы финансовых материальных ресурсов организаций;</w:t>
      </w:r>
    </w:p>
    <w:p>
      <w:pPr>
        <w:pStyle w:val="214"/>
        <w:numPr>
          <w:ilvl w:val="0"/>
          <w:numId w:val="3"/>
        </w:numPr>
        <w:shd w:val="clear" w:color="auto" w:fill="auto"/>
        <w:tabs>
          <w:tab w:val="clear" w:pos="709"/>
          <w:tab w:val="left" w:pos="1002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Электронная модель схемы теплоснабжения в программном комплексе находящаяся в АО «Люберецкая теплосеть» для занесения оперативных данных     с целью принятия своевременного решения по переключению потребителей в зоне аварийной ситуации.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Объемы резервов финансовых ресурсов (резервных фондов) для Администрации определяются ежегодно и утверждаются нормативным правовым актом и должны обеспечивать проведение аварийно-восстановительных работ                в нормативные сроки.</w:t>
      </w:r>
    </w:p>
    <w:p>
      <w:pPr>
        <w:pStyle w:val="214"/>
        <w:shd w:val="clear" w:color="auto" w:fill="auto"/>
        <w:tabs>
          <w:tab w:val="clear" w:pos="709"/>
          <w:tab w:val="left" w:pos="1271" w:leader="none"/>
        </w:tabs>
        <w:spacing w:lineRule="exact" w:line="312" w:before="0" w:after="0"/>
        <w:ind w:left="740" w:hanging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3.3. Порядок действий по ликвидации аварий на объектах теплоснабжения.</w:t>
      </w:r>
    </w:p>
    <w:p>
      <w:pPr>
        <w:pStyle w:val="214"/>
        <w:shd w:val="clear" w:color="auto" w:fill="auto"/>
        <w:tabs>
          <w:tab w:val="clear" w:pos="709"/>
          <w:tab w:val="left" w:pos="6950" w:leader="dot"/>
        </w:tabs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О причинах аварии, масштабах и возможных последствиях, планируемых сроках ремонтно - восстановительных работ, привлекаемых силах и средствах руководитель работ информирует диспетчера ЕДДС не позднее 10 минут                             с момента происшествия, чрезвычайной ситуации (далее - ЧС), Администрацию 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ЕТО с применением электронного моделирования аварийной ситуации                  в схеме теплоснабжения муниципального образования городского округа Люберцы, разрабатывает возможные технические решения по ликвидации аварийной ситуации на объектах теплоснабжения.</w:t>
      </w:r>
    </w:p>
    <w:p>
      <w:pPr>
        <w:pStyle w:val="214"/>
        <w:shd w:val="clear" w:color="auto" w:fill="auto"/>
        <w:tabs>
          <w:tab w:val="left" w:pos="709" w:leader="none"/>
          <w:tab w:val="left" w:pos="1827" w:leader="none"/>
        </w:tabs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О сложившейся</w:t>
        <w:tab/>
        <w:t>обстановке</w:t>
        <w:tab/>
        <w:t xml:space="preserve">Администрация </w:t>
        <w:tab/>
        <w:t>информирует население через средства массовой информации, а также посредством размещения информации на официальном сайте в сети Интернет.</w:t>
      </w:r>
    </w:p>
    <w:p>
      <w:pPr>
        <w:pStyle w:val="214"/>
        <w:shd w:val="clear" w:color="auto" w:fill="auto"/>
        <w:spacing w:lineRule="exact" w:line="312" w:before="0" w:after="0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 xml:space="preserve">В случае необходимости привлечения дополнительных сил и средств                    к работам, руководитель работ докладывает Главе городского округа Люберцы, председателю </w:t>
      </w:r>
    </w:p>
    <w:p>
      <w:pPr>
        <w:pStyle w:val="214"/>
        <w:shd w:val="clear" w:color="auto" w:fill="auto"/>
        <w:spacing w:lineRule="exact" w:line="312" w:before="0" w:after="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комиссии по предупреждению и ликвидации чрезвычайных ситуаций                            и обеспечению пожарной безопасности, диспетчеру ЕДДС.</w:t>
      </w:r>
    </w:p>
    <w:p>
      <w:pPr>
        <w:pStyle w:val="214"/>
        <w:shd w:val="clear" w:color="auto" w:fill="auto"/>
        <w:spacing w:lineRule="exact" w:line="312" w:before="0" w:after="374"/>
        <w:ind w:firstLine="740"/>
        <w:jc w:val="both"/>
        <w:rPr>
          <w:sz w:val="28"/>
          <w:szCs w:val="28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безопасности.</w:t>
      </w:r>
    </w:p>
    <w:p>
      <w:pPr>
        <w:pStyle w:val="214"/>
        <w:shd w:val="clear" w:color="auto" w:fill="auto"/>
        <w:spacing w:lineRule="exact" w:line="220" w:before="0" w:after="0"/>
        <w:jc w:val="left"/>
        <w:rPr>
          <w:color w:val="000000"/>
          <w:sz w:val="28"/>
          <w:szCs w:val="28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  <w:t>Риски возникновения аварий, масштабы и последствия:</w:t>
      </w:r>
    </w:p>
    <w:p>
      <w:pPr>
        <w:pStyle w:val="214"/>
        <w:shd w:val="clear" w:color="auto" w:fill="auto"/>
        <w:spacing w:lineRule="exact" w:line="220" w:before="0" w:after="0"/>
        <w:jc w:val="left"/>
        <w:rPr>
          <w:rFonts w:ascii="Arial" w:hAnsi="Arial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</w:r>
    </w:p>
    <w:tbl>
      <w:tblPr>
        <w:tblStyle w:val="a3"/>
        <w:tblW w:w="97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2"/>
        <w:gridCol w:w="2246"/>
        <w:gridCol w:w="1859"/>
        <w:gridCol w:w="2044"/>
        <w:gridCol w:w="1659"/>
      </w:tblGrid>
      <w:tr>
        <w:trPr/>
        <w:tc>
          <w:tcPr>
            <w:tcW w:w="1962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/>
                <w:sz w:val="24"/>
                <w:szCs w:val="24"/>
              </w:rPr>
              <w:t>Вид аварии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/>
                <w:sz w:val="24"/>
                <w:szCs w:val="24"/>
              </w:rPr>
              <w:t>Причина аварии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180"/>
              <w:ind w:left="160" w:hanging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/>
                <w:sz w:val="24"/>
                <w:szCs w:val="24"/>
              </w:rPr>
              <w:t>Уровень реагирования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hAnsi="Arial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1962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Остановка котельной</w:t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Прекращение подачи</w:t>
            </w:r>
          </w:p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электроэнергии</w:t>
            </w:r>
          </w:p>
        </w:tc>
        <w:tc>
          <w:tcPr>
            <w:tcW w:w="1859" w:type="dxa"/>
            <w:tcBorders/>
            <w:shd w:fill="auto" w:val="clear"/>
            <w:vAlign w:val="bottom"/>
          </w:tcPr>
          <w:p>
            <w:pPr>
              <w:pStyle w:val="214"/>
              <w:shd w:val="clear" w:color="auto" w:fill="auto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044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муниципальный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62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Остановка</w:t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котельной</w:t>
            </w:r>
          </w:p>
        </w:tc>
        <w:tc>
          <w:tcPr>
            <w:tcW w:w="2246" w:type="dxa"/>
            <w:tcBorders/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1859" w:type="dxa"/>
            <w:tcBorders/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</w:t>
            </w:r>
          </w:p>
        </w:tc>
        <w:tc>
          <w:tcPr>
            <w:tcW w:w="2044" w:type="dxa"/>
            <w:tcBorders/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объектовый</w:t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(локальный)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62" w:type="dxa"/>
            <w:tcBorders/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Порыв</w:t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тепловых сетей</w:t>
            </w:r>
          </w:p>
        </w:tc>
        <w:tc>
          <w:tcPr>
            <w:tcW w:w="2246" w:type="dxa"/>
            <w:tcBorders/>
            <w:shd w:color="auto" w:fill="FFFFFF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Предельный</w:t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износ,</w:t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гидродинамические</w:t>
            </w:r>
          </w:p>
          <w:p>
            <w:pPr>
              <w:pStyle w:val="214"/>
              <w:shd w:val="clear" w:color="auto" w:fill="auto"/>
              <w:spacing w:lineRule="auto" w:line="24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удары</w:t>
            </w:r>
          </w:p>
        </w:tc>
        <w:tc>
          <w:tcPr>
            <w:tcW w:w="1859" w:type="dxa"/>
            <w:tcBorders/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Прекращение подачи горячей воды в систему отопления всех потребителей, понижение температуры в зданиях и жилых домах, размораживание тепловых сетей и отопительных батарей</w:t>
            </w:r>
          </w:p>
        </w:tc>
        <w:tc>
          <w:tcPr>
            <w:tcW w:w="2044" w:type="dxa"/>
            <w:tcBorders/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муниципальный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962" w:type="dxa"/>
            <w:tcBorders/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Порыв сетей водоснабжения</w:t>
            </w:r>
          </w:p>
        </w:tc>
        <w:tc>
          <w:tcPr>
            <w:tcW w:w="2246" w:type="dxa"/>
            <w:tcBorders/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Предельный износ, повреждение на трассе</w:t>
            </w:r>
          </w:p>
        </w:tc>
        <w:tc>
          <w:tcPr>
            <w:tcW w:w="1859" w:type="dxa"/>
            <w:tcBorders/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auto" w:line="240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Прекращение циркуляции в системе водо- и теплоснабжения</w:t>
            </w:r>
          </w:p>
        </w:tc>
        <w:tc>
          <w:tcPr>
            <w:tcW w:w="2044" w:type="dxa"/>
            <w:tcBorders/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муниципальный</w:t>
            </w:r>
          </w:p>
        </w:tc>
        <w:tc>
          <w:tcPr>
            <w:tcW w:w="1659" w:type="dxa"/>
            <w:tcBorders/>
            <w:shd w:fill="auto" w:val="clear"/>
          </w:tcPr>
          <w:p>
            <w:pPr>
              <w:pStyle w:val="214"/>
              <w:shd w:val="clear" w:color="auto" w:fill="auto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214"/>
        <w:shd w:val="clear" w:color="auto" w:fill="auto"/>
        <w:spacing w:lineRule="exact" w:line="220" w:before="0" w:after="0"/>
        <w:jc w:val="both"/>
        <w:rPr>
          <w:rFonts w:ascii="Arial" w:hAnsi="Arial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</w:r>
    </w:p>
    <w:p>
      <w:pPr>
        <w:pStyle w:val="214"/>
        <w:shd w:val="clear" w:color="auto" w:fill="auto"/>
        <w:spacing w:lineRule="exact" w:line="220" w:before="0" w:after="0"/>
        <w:jc w:val="left"/>
        <w:rPr>
          <w:rFonts w:ascii="Arial" w:hAnsi="Arial"/>
          <w:color w:val="000000"/>
          <w:sz w:val="24"/>
          <w:szCs w:val="24"/>
          <w:lang w:eastAsia="ru-RU" w:bidi="ru-RU"/>
        </w:rPr>
      </w:pPr>
      <w:r>
        <w:rPr>
          <w:rFonts w:ascii="Arial" w:hAnsi="Arial"/>
          <w:color w:val="000000"/>
          <w:sz w:val="24"/>
          <w:szCs w:val="24"/>
          <w:lang w:eastAsia="ru-RU" w:bidi="ru-RU"/>
        </w:rPr>
      </w:r>
    </w:p>
    <w:p>
      <w:pPr>
        <w:sectPr>
          <w:type w:val="nextPage"/>
          <w:pgSz w:w="11906" w:h="16838"/>
          <w:pgMar w:left="1276" w:right="843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214"/>
        <w:shd w:val="clear" w:color="auto" w:fill="auto"/>
        <w:spacing w:lineRule="exact" w:line="220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35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3"/>
        <w:gridCol w:w="2029"/>
        <w:gridCol w:w="1848"/>
        <w:gridCol w:w="1490"/>
      </w:tblGrid>
      <w:tr>
        <w:trPr>
          <w:trHeight w:val="97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20"/>
              <w:ind w:right="30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>
            <w:pPr>
              <w:pStyle w:val="214"/>
              <w:shd w:val="clear" w:color="auto" w:fill="auto"/>
              <w:spacing w:lineRule="exact" w:line="220" w:before="12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Диаметр труб, мм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Время устранения, ч, при глубине заложения труб, м</w:t>
            </w:r>
          </w:p>
        </w:tc>
      </w:tr>
      <w:tr>
        <w:trPr>
          <w:trHeight w:val="331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более 2</w:t>
            </w:r>
          </w:p>
        </w:tc>
      </w:tr>
      <w:tr>
        <w:trPr>
          <w:trHeight w:val="331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right="30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 400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</w:tr>
      <w:tr>
        <w:trPr>
          <w:trHeight w:val="331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right="30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св. 400 до 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</w:tr>
      <w:tr>
        <w:trPr>
          <w:trHeight w:val="33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right="30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св. 1000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</w:tr>
    </w:tbl>
    <w:tbl>
      <w:tblPr>
        <w:tblW w:w="1008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2586"/>
        <w:gridCol w:w="1646"/>
        <w:gridCol w:w="1468"/>
        <w:gridCol w:w="1108"/>
        <w:gridCol w:w="1103"/>
        <w:gridCol w:w="1486"/>
      </w:tblGrid>
      <w:tr>
        <w:trPr>
          <w:trHeight w:val="97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2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>
            <w:pPr>
              <w:pStyle w:val="Style41"/>
              <w:pBdr/>
              <w:shd w:val="clear" w:color="auto" w:fill="auto"/>
              <w:spacing w:lineRule="exact" w:line="220"/>
              <w:rPr/>
              <w:framePr w:w="3279" w:h="220" w:x="1393" w:y="5727" w:wrap="through" w:vAnchor="page" w:hAnchor="page" w:hRule="exact"/>
            </w:pPr>
            <w:r>
              <w:rPr>
                <w:color w:val="000000"/>
                <w:lang w:eastAsia="ru-RU" w:bidi="ru-RU"/>
              </w:rPr>
              <w:t>б) на объектах теплоснабжения:</w:t>
            </w:r>
          </w:p>
          <w:p>
            <w:pPr>
              <w:pStyle w:val="214"/>
              <w:shd w:val="clear" w:color="auto" w:fill="auto"/>
              <w:spacing w:lineRule="exact" w:line="220" w:before="120" w:after="0"/>
              <w:ind w:right="22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</w:t>
            </w:r>
          </w:p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технологического</w:t>
            </w:r>
          </w:p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нарушения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40" w:firstLine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Время на устранение</w:t>
            </w:r>
          </w:p>
        </w:tc>
        <w:tc>
          <w:tcPr>
            <w:tcW w:w="51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7" w:before="0" w:after="0"/>
              <w:ind w:firstLine="14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Ожидаемая температура в жилых помещениях при температуре наружного воздуха, </w:t>
            </w:r>
            <w:r>
              <w:rPr>
                <w:rFonts w:ascii="Arial" w:hAnsi="Arial"/>
                <w:sz w:val="24"/>
                <w:szCs w:val="24"/>
                <w:lang w:val="en-US" w:bidi="en-US"/>
              </w:rPr>
              <w:t>C</w:t>
            </w:r>
          </w:p>
        </w:tc>
      </w:tr>
      <w:tr>
        <w:trPr>
          <w:trHeight w:val="32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-20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более-20</w:t>
            </w:r>
          </w:p>
        </w:tc>
      </w:tr>
      <w:tr>
        <w:trPr>
          <w:trHeight w:val="64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right="22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</w:t>
            </w:r>
          </w:p>
          <w:p>
            <w:pPr>
              <w:pStyle w:val="214"/>
              <w:shd w:val="clear" w:color="auto" w:fill="auto"/>
              <w:spacing w:lineRule="exact" w:line="220" w:before="12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отопления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40" w:firstLine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часа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643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right="22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8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</w:t>
            </w:r>
          </w:p>
          <w:p>
            <w:pPr>
              <w:pStyle w:val="214"/>
              <w:shd w:val="clear" w:color="auto" w:fill="auto"/>
              <w:spacing w:lineRule="exact" w:line="220" w:before="18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отопления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40" w:firstLine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 часа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</w:tr>
      <w:tr>
        <w:trPr>
          <w:trHeight w:val="64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right="22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8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</w:t>
            </w:r>
          </w:p>
          <w:p>
            <w:pPr>
              <w:pStyle w:val="214"/>
              <w:shd w:val="clear" w:color="auto" w:fill="auto"/>
              <w:spacing w:lineRule="exact" w:line="220" w:before="18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отопления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40" w:firstLine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 часов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</w:tr>
      <w:tr>
        <w:trPr>
          <w:trHeight w:val="64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right="22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120"/>
              <w:ind w:left="30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</w:t>
            </w:r>
          </w:p>
          <w:p>
            <w:pPr>
              <w:pStyle w:val="214"/>
              <w:shd w:val="clear" w:color="auto" w:fill="auto"/>
              <w:spacing w:lineRule="exact" w:line="220" w:before="12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отопления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40" w:firstLine="16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 часов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3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</w:tr>
    </w:tbl>
    <w:tbl>
      <w:tblPr>
        <w:tblW w:w="10085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228"/>
        <w:gridCol w:w="5481"/>
        <w:gridCol w:w="3376"/>
      </w:tblGrid>
      <w:tr>
        <w:trPr>
          <w:trHeight w:val="662" w:hRule="exac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22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  <w:p>
            <w:pPr>
              <w:pStyle w:val="Style41"/>
              <w:pBdr/>
              <w:shd w:val="clear" w:color="auto" w:fill="auto"/>
              <w:spacing w:lineRule="exact" w:line="220"/>
              <w:rPr/>
              <w:framePr w:w="3477" w:h="220" w:x="1959" w:y="10162" w:wrap="through" w:vAnchor="page" w:hAnchor="page" w:hRule="exact"/>
            </w:pPr>
            <w:r>
              <w:rPr>
                <w:color w:val="000000"/>
                <w:lang w:eastAsia="ru-RU" w:bidi="ru-RU"/>
              </w:rPr>
              <w:t>в) на объектах электроснабжения: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22" w:before="0" w:after="0"/>
              <w:ind w:left="160" w:firstLine="7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8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Время устранения</w:t>
            </w:r>
          </w:p>
        </w:tc>
      </w:tr>
      <w:tr>
        <w:trPr>
          <w:trHeight w:val="336" w:hRule="exact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right="20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firstLine="70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ind w:left="8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часа</w:t>
            </w:r>
          </w:p>
        </w:tc>
      </w:tr>
    </w:tbl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41"/>
        <w:pBdr/>
        <w:shd w:val="clear" w:color="auto" w:fill="auto"/>
        <w:spacing w:lineRule="exact" w:line="317"/>
        <w:ind w:firstLine="740"/>
        <w:jc w:val="both"/>
        <w:rPr/>
        <w:framePr w:w="10104" w:h="1324" w:x="1210" w:y="12268" w:wrap="through" w:vAnchor="page" w:hAnchor="page" w:hRule="exact"/>
      </w:pPr>
      <w:r>
        <w:rPr>
          <w:rStyle w:val="Style6"/>
        </w:rPr>
        <w:t xml:space="preserve">Приложение. </w:t>
      </w:r>
      <w:r>
        <w:rPr>
          <w:color w:val="000000"/>
          <w:lang w:eastAsia="ru-RU" w:bidi="ru-RU"/>
        </w:rPr>
        <w:t>Порядок действий муниципального звена территориальной подсистемы единой государственной системы предупреждения и ликвидации чрезвычайных ситуаций при аварийном отключении систем жизнеобеспечения населения в жилых домах на сутки и более (в условиях критически низких температур окружающего воздуха)</w:t>
      </w:r>
    </w:p>
    <w:tbl>
      <w:tblPr>
        <w:tblW w:w="999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2"/>
        <w:gridCol w:w="2605"/>
        <w:gridCol w:w="2820"/>
      </w:tblGrid>
      <w:tr>
        <w:trPr>
          <w:trHeight w:val="65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120"/>
              <w:ind w:right="26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  <w:p>
            <w:pPr>
              <w:pStyle w:val="214"/>
              <w:shd w:val="clear" w:color="auto" w:fill="auto"/>
              <w:spacing w:lineRule="exact" w:line="220" w:before="120" w:after="0"/>
              <w:ind w:right="26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Срок исполнения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Исполнитель</w:t>
            </w:r>
          </w:p>
        </w:tc>
      </w:tr>
      <w:tr>
        <w:trPr>
          <w:trHeight w:val="33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right="26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</w:tr>
      <w:tr>
        <w:trPr>
          <w:trHeight w:val="331" w:hRule="exact"/>
        </w:trPr>
        <w:tc>
          <w:tcPr>
            <w:tcW w:w="9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>
        <w:trPr>
          <w:trHeight w:val="255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 поступлении информации (сигнала) в дежурно</w:t>
              <w:softHyphen/>
              <w:t>диспетчерские службы ресурсоснабжающих организаций (далее - ДДС РСО), организаций об аварии на коммунально</w:t>
              <w:softHyphen/>
              <w:t>технических системах жизнеобеспечения населения: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Немедленно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55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/>
              <w:ind w:left="160" w:hanging="0"/>
              <w:jc w:val="left"/>
              <w:rPr/>
            </w:pPr>
            <w:r>
              <w:rPr>
                <w:rStyle w:val="22"/>
                <w:rFonts w:ascii="Arial" w:hAnsi="Arial"/>
                <w:sz w:val="24"/>
                <w:szCs w:val="24"/>
              </w:rPr>
              <w:t>ДДС рсо,</w:t>
            </w:r>
          </w:p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7" w:before="6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</w:p>
        </w:tc>
      </w:tr>
      <w:tr>
        <w:trPr>
          <w:trHeight w:val="190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Аварийно</w:t>
              <w:softHyphen/>
              <w:t xml:space="preserve">восстановительные бригады, ДДС РСО, Администрация </w:t>
            </w:r>
          </w:p>
        </w:tc>
      </w:tr>
      <w:tr>
        <w:trPr>
          <w:trHeight w:val="253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 организация работ по восстановлению линий электропередач и систем жизнеобеспечения при авариях на них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Аварийно</w:t>
              <w:softHyphen/>
              <w:t xml:space="preserve">восстановительные бригады, ДДС РСО, Администрация </w:t>
            </w:r>
          </w:p>
        </w:tc>
      </w:tr>
      <w:tr>
        <w:trPr>
          <w:trHeight w:val="97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мер для обеспечения электроэнергией учреждений здравоохранения, учреждений 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Аварийно</w:t>
              <w:softHyphen/>
              <w:t>восстановительные бригады, ДДС РСО,</w:t>
            </w:r>
          </w:p>
        </w:tc>
      </w:tr>
    </w:tbl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2"/>
        <w:gridCol w:w="2605"/>
        <w:gridCol w:w="2820"/>
      </w:tblGrid>
      <w:tr>
        <w:trPr>
          <w:trHeight w:val="97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круглосуточным пребыванием маломобильных групп населения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7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</w:t>
            </w:r>
          </w:p>
        </w:tc>
      </w:tr>
      <w:tr>
        <w:trPr>
          <w:trHeight w:val="190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сбор от ДДС РСО и обобщение сведений о последствиях аварийной ситуации, ходе ведения работ по ее устранению, задействованных силах и средствах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ЕДДС</w:t>
            </w:r>
          </w:p>
        </w:tc>
      </w:tr>
      <w:tr>
        <w:trPr>
          <w:trHeight w:val="1267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Усиление ДДС РСО и ЕДДС (при необходимости)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+ 1 ч 30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6" w:leader="dot"/>
              </w:tabs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РСО, ЕДДС, Администрация </w:t>
            </w:r>
          </w:p>
        </w:tc>
      </w:tr>
      <w:tr>
        <w:trPr>
          <w:trHeight w:val="348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(0 ч 30 мин - 1 ч 00 мин)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6" w:leader="dot"/>
              </w:tabs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РСО, Администрация </w:t>
            </w:r>
          </w:p>
        </w:tc>
      </w:tr>
      <w:tr>
        <w:trPr>
          <w:trHeight w:val="190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подключение дополнительных источников энергоснабжения (освещения) для работы в темное время суток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Аварийно</w:t>
              <w:softHyphen/>
              <w:t xml:space="preserve">восстановительные бригады РСО, Администрация </w:t>
            </w:r>
          </w:p>
        </w:tc>
      </w:tr>
      <w:tr>
        <w:trPr>
          <w:trHeight w:val="190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обеспечение бесперебойной подачи тепла в жилые кварталы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Аварийно</w:t>
              <w:softHyphen/>
              <w:t xml:space="preserve">восстановительные бригады РСО, Администрация </w:t>
            </w:r>
          </w:p>
        </w:tc>
      </w:tr>
      <w:tr>
        <w:trPr>
          <w:trHeight w:val="159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сбор сведений о наличии и работоспособности автономных источников питания, распределение автономных источников питания по объектам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ЕДДС</w:t>
            </w:r>
          </w:p>
        </w:tc>
      </w:tr>
      <w:tr>
        <w:trPr>
          <w:trHeight w:val="128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 поступлении сигнала в администрацию города об аварии на коммунальных системах жизнеобеспечения: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Немедленно, Ч + 1 ч 30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2"/>
        <w:gridCol w:w="2605"/>
        <w:gridCol w:w="2820"/>
      </w:tblGrid>
      <w:tr>
        <w:trPr>
          <w:trHeight w:val="411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оповещение и сбор комиссии по ЧС и ОПБ (по решению председателя КЧС и ОПБ МО при критически низких температурах, остановке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ЕДДС</w:t>
            </w:r>
          </w:p>
        </w:tc>
      </w:tr>
      <w:tr>
        <w:trPr>
          <w:trHeight w:val="442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энергоснабжения, в том числе с применением электронного моделирования аварийной ситуации в схеме теплоснабжения города Иванова, выполненной на базе программного комплекса "Теплоэксперт", и выдача рекомендаций в администрацию города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22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+ 2 ч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214"/>
              <w:shd w:val="clear" w:color="auto" w:fill="auto"/>
              <w:spacing w:lineRule="exact" w:line="317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Администрация</w:t>
            </w:r>
          </w:p>
          <w:p>
            <w:pPr>
              <w:pStyle w:val="214"/>
              <w:shd w:val="clear" w:color="auto" w:fill="auto"/>
              <w:spacing w:lineRule="exact" w:line="317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ЕТО,</w:t>
            </w:r>
          </w:p>
          <w:p>
            <w:pPr>
              <w:pStyle w:val="214"/>
              <w:shd w:val="clear" w:color="auto" w:fill="auto"/>
              <w:spacing w:lineRule="exact" w:line="317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ЕДДС</w:t>
            </w:r>
          </w:p>
        </w:tc>
      </w:tr>
      <w:tr>
        <w:trPr>
          <w:trHeight w:val="601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заседания КЧС и ОПБ МО и подготовка распоряжения председателя комиссии по ЧС и ОПБ МО "О переводе муниципального звена территориальной подсистемы РСЧС в режим ПОВЫШЕННОЙ ГОТОВНОСТИ" (по 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школ, повлекших нарушения условий жизнедеятельности людей)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(1 ч 30 мин - 2 ч 30 мин)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Председатель КЧС и ОПБ муниципального образования (далее - МО), оперативный штаб КЧС и ОПБ МО</w:t>
            </w:r>
          </w:p>
        </w:tc>
      </w:tr>
    </w:tbl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2"/>
        <w:gridCol w:w="2605"/>
        <w:gridCol w:w="2820"/>
      </w:tblGrid>
      <w:tr>
        <w:trPr>
          <w:trHeight w:val="64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работы оперативного штаба при КЧС и ОПБ МО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+ 2 ч 30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6" w:leader="dot"/>
              </w:tabs>
              <w:spacing w:lineRule="exact" w:line="32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Глава городского округа</w:t>
            </w:r>
          </w:p>
        </w:tc>
      </w:tr>
      <w:tr>
        <w:trPr>
          <w:trHeight w:val="4118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Уточнение (при необходимости):</w:t>
            </w:r>
          </w:p>
          <w:p>
            <w:pPr>
              <w:pStyle w:val="214"/>
              <w:numPr>
                <w:ilvl w:val="0"/>
                <w:numId w:val="4"/>
              </w:numPr>
              <w:shd w:val="clear" w:color="auto" w:fill="auto"/>
              <w:tabs>
                <w:tab w:val="clear" w:pos="709"/>
                <w:tab w:val="left" w:pos="211" w:leader="none"/>
              </w:tabs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пунктов приема эвакуируемого населения;</w:t>
            </w:r>
          </w:p>
          <w:p>
            <w:pPr>
              <w:pStyle w:val="214"/>
              <w:numPr>
                <w:ilvl w:val="0"/>
                <w:numId w:val="4"/>
              </w:numPr>
              <w:shd w:val="clear" w:color="auto" w:fill="auto"/>
              <w:tabs>
                <w:tab w:val="clear" w:pos="709"/>
                <w:tab w:val="left" w:pos="206" w:leader="none"/>
              </w:tabs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планов эвакуации населения из зоны чрезвычайной ситуации. 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размещении эвакуируемых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+ 2 ч 30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Эвакоприемная комиссия Администрации</w:t>
            </w:r>
          </w:p>
        </w:tc>
      </w:tr>
      <w:tr>
        <w:trPr>
          <w:trHeight w:val="284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Перевод ОДС в режим ПОВЫШЕННАЯ ГОТОВНОСТЬ (по решению Главы города). Организация взаимодействия с органами исполнительной власти по проведению аварийно</w:t>
              <w:softHyphen/>
              <w:t>спасательных и других неотложных работ (АСДНР) (при необходимости)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+ 2 ч 30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Председатель КЧС и ОПБ МО, оперативный штаб КЧС и ОПБ МО</w:t>
            </w:r>
          </w:p>
        </w:tc>
      </w:tr>
      <w:tr>
        <w:trPr>
          <w:trHeight w:val="505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Выезд оперативной группы МО на место, в котором произошла авария. Проведение анализа обстановки, определение возможных последствий аварии и необходимых сил и средств для ее ликвидации (по решению Главы города).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(2 ч 00 мин - 3 час 00 мин)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2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КЧС и ОПБ МО</w:t>
            </w:r>
          </w:p>
        </w:tc>
      </w:tr>
      <w:tr>
        <w:trPr>
          <w:trHeight w:val="1277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несения круглосуточного дежурства руководящего состава МО (по решению Главы города)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+ 3 ч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КЧС и ОПБ МО</w:t>
            </w:r>
          </w:p>
        </w:tc>
      </w:tr>
      <w:tr>
        <w:trPr>
          <w:trHeight w:val="341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и проведение работ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+ 3 ч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</w:t>
            </w:r>
          </w:p>
        </w:tc>
      </w:tr>
    </w:tbl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2"/>
        <w:gridCol w:w="2605"/>
        <w:gridCol w:w="2820"/>
      </w:tblGrid>
      <w:tr>
        <w:trPr>
          <w:trHeight w:val="97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ликвидации аварии на коммунальных системах жизнеобеспечения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КЧС и ОПБ МО</w:t>
            </w:r>
          </w:p>
        </w:tc>
      </w:tr>
      <w:tr>
        <w:trPr>
          <w:trHeight w:val="1277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+ 3 ч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КЧС и ОПБ МО</w:t>
            </w:r>
          </w:p>
        </w:tc>
      </w:tr>
      <w:tr>
        <w:trPr>
          <w:trHeight w:val="1589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+ 3 ч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КЧС и ОПБ МО</w:t>
            </w:r>
          </w:p>
        </w:tc>
      </w:tr>
      <w:tr>
        <w:trPr>
          <w:trHeight w:val="348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сбора и обобщения информации:</w:t>
            </w:r>
          </w:p>
          <w:p>
            <w:pPr>
              <w:pStyle w:val="214"/>
              <w:numPr>
                <w:ilvl w:val="0"/>
                <w:numId w:val="5"/>
              </w:numPr>
              <w:shd w:val="clear" w:color="auto" w:fill="auto"/>
              <w:tabs>
                <w:tab w:val="clear" w:pos="709"/>
                <w:tab w:val="left" w:pos="317" w:leader="none"/>
              </w:tabs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>
            <w:pPr>
              <w:pStyle w:val="214"/>
              <w:numPr>
                <w:ilvl w:val="0"/>
                <w:numId w:val="5"/>
              </w:numPr>
              <w:shd w:val="clear" w:color="auto" w:fill="auto"/>
              <w:tabs>
                <w:tab w:val="clear" w:pos="709"/>
                <w:tab w:val="left" w:pos="398" w:leader="none"/>
              </w:tabs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 состоянии безопасности объектов жизнеобеспечения МО;</w:t>
            </w:r>
          </w:p>
          <w:p>
            <w:pPr>
              <w:pStyle w:val="214"/>
              <w:numPr>
                <w:ilvl w:val="0"/>
                <w:numId w:val="5"/>
              </w:numPr>
              <w:shd w:val="clear" w:color="auto" w:fill="auto"/>
              <w:tabs>
                <w:tab w:val="clear" w:pos="709"/>
                <w:tab w:val="left" w:pos="370" w:leader="none"/>
              </w:tabs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Через каждый 1 час (в течение первых суток),</w:t>
            </w:r>
          </w:p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часа (в последующие сутки)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КЧС и ОПБ МО</w:t>
            </w:r>
          </w:p>
        </w:tc>
      </w:tr>
      <w:tr>
        <w:trPr>
          <w:trHeight w:val="1272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 контроля за устойчивой работой объектов и систем жизнеобеспечения населения МО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ходе ликвидации аварии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КЧС и ОПБ МО</w:t>
            </w:r>
          </w:p>
        </w:tc>
      </w:tr>
      <w:tr>
        <w:trPr>
          <w:trHeight w:val="1594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+ 3 ч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Отделы полиции МВД России</w:t>
            </w:r>
          </w:p>
        </w:tc>
      </w:tr>
      <w:tr>
        <w:trPr>
          <w:trHeight w:val="2213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решению председателя комиссии по ликвидации ЧС и ОПБ МО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Аварийно</w:t>
              <w:softHyphen/>
            </w:r>
          </w:p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восстановительные</w:t>
            </w:r>
          </w:p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бригады</w:t>
            </w:r>
          </w:p>
          <w:p>
            <w:pPr>
              <w:pStyle w:val="214"/>
              <w:shd w:val="clear" w:color="auto" w:fill="auto"/>
              <w:tabs>
                <w:tab w:val="clear" w:pos="709"/>
                <w:tab w:val="left" w:pos="2171" w:leader="dot"/>
              </w:tabs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ресурсоснабжающих организаций муниципального образования </w:t>
              <w:tab/>
            </w:r>
          </w:p>
        </w:tc>
      </w:tr>
      <w:tr>
        <w:trPr>
          <w:trHeight w:val="653" w:hRule="exact"/>
        </w:trPr>
        <w:tc>
          <w:tcPr>
            <w:tcW w:w="9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истечении 24 часов после возникновения аварии на коммунальных системах жизнеобеспечения (переход аварии в режим чрезвычайной ситуации)</w:t>
            </w:r>
          </w:p>
        </w:tc>
      </w:tr>
      <w:tr>
        <w:trPr>
          <w:trHeight w:val="1282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8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Принятие решения и подготовка распоряжения председателя комиссии по ЧС и ОПБ МО о переводе муниципального звена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 + 24 час 00 мин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07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Председатель КЧС и ОПБ МО</w:t>
            </w:r>
          </w:p>
        </w:tc>
      </w:tr>
    </w:tbl>
    <w:p>
      <w:pPr>
        <w:sectPr>
          <w:type w:val="nextPage"/>
          <w:pgSz w:w="11906" w:h="16838"/>
          <w:pgMar w:left="360" w:right="360" w:header="0" w:top="360" w:footer="0" w:bottom="36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993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85"/>
        <w:gridCol w:w="3882"/>
        <w:gridCol w:w="2605"/>
        <w:gridCol w:w="2820"/>
      </w:tblGrid>
      <w:tr>
        <w:trPr>
          <w:trHeight w:val="97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территориальной подсистемы РСЧС в режим ЧРЕЗВЫЧАЙНОЙ СИТУАЦИИ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163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Усиление группировки сил и средств, необходимых для ликвидации ЧС. Приведение в готовность нештатных аварийно </w:t>
              <w:softHyphen/>
              <w:t>спасательных формирований (НАСФ). Определение количества сил и средств, направляемых в муниципальное образование для оказания помощи в ликвидации ЧС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решению председателя комиссии по ликвидации ЧС и ОПБ МО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tabs>
                <w:tab w:val="clear" w:pos="709"/>
                <w:tab w:val="left" w:pos="2006" w:leader="dot"/>
              </w:tabs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</w:p>
        </w:tc>
      </w:tr>
      <w:tr>
        <w:trPr>
          <w:trHeight w:val="253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Через каждые 2 часа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при КЧС и ОПБ МО</w:t>
            </w:r>
          </w:p>
        </w:tc>
      </w:tr>
      <w:tr>
        <w:trPr>
          <w:trHeight w:val="1910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Подготовка проекта распоряжения о переводе муниципального звена территориальной подсистемы РСЧС в режим ПОВСЕДНЕВНОЙ ДЕЯТЕЛЬНОСТИ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 обеспечении устойчивого функционирования объектов</w:t>
            </w:r>
          </w:p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жизнеобеспечения</w:t>
            </w:r>
          </w:p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населения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Секретарь КЧС и ОПБ МО</w:t>
            </w:r>
          </w:p>
        </w:tc>
      </w:tr>
      <w:tr>
        <w:trPr>
          <w:trHeight w:val="190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Доведение распоряжения председателя комиссии по ликвидации ЧС и ОПБ о переводе звена ОТП РСЧС в режим ПОВСЕДНЕВНОЙ ДЕЯТЕЛЬНОСТИ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завершении работ по ликвидации ЧС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7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Оперативный штаб комиссии по ликвидации ЧС и ОПБ</w:t>
            </w:r>
          </w:p>
        </w:tc>
      </w:tr>
      <w:tr>
        <w:trPr>
          <w:trHeight w:val="1286" w:hRule="exact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220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Анализ и оценка эффективности проведенного комплекса мероприятий и действий служб, привлекаемых для ликвидации ЧС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ind w:left="16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течение месяца после ликвидации ЧС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214"/>
              <w:shd w:val="clear" w:color="auto" w:fill="auto"/>
              <w:spacing w:lineRule="exact" w:line="312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Председатель комиссии по ликвидации ЧС и ОПБ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onsultant">
    <w:charset w:val="cc"/>
    <w:family w:val="moder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928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710"/>
      </w:pPr>
      <w:rPr>
        <w:sz w:val="28"/>
        <w:i w:val="false"/>
        <w:b w:val="false"/>
        <w:szCs w:val="28"/>
        <w:rFonts w:ascii="Times New Roman" w:hAnsi="Times New Roman" w:cs="Times New Roman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  <w:i w:val="false"/>
        <w:b w:val="false"/>
        <w:szCs w:val="24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i w:val="false"/>
        <w:szCs w:val="24"/>
      </w:rPr>
    </w:lvl>
    <w:lvl w:ilvl="3">
      <w:start w:val="1"/>
      <w:numFmt w:val="decimal"/>
      <w:lvlText w:val="%1.%2.%3.%4."/>
      <w:lvlJc w:val="left"/>
      <w:pPr>
        <w:ind w:left="3114" w:hanging="1080"/>
      </w:pPr>
      <w:rPr/>
    </w:lvl>
    <w:lvl w:ilvl="4">
      <w:start w:val="1"/>
      <w:numFmt w:val="decimal"/>
      <w:lvlText w:val="%5."/>
      <w:lvlJc w:val="left"/>
      <w:pPr>
        <w:ind w:left="3294" w:hanging="1080"/>
      </w:pPr>
      <w:rPr/>
    </w:lvl>
    <w:lvl w:ilvl="5">
      <w:start w:val="1"/>
      <w:numFmt w:val="decimal"/>
      <w:lvlText w:val="%1.%2.%3.%4.%5.%6."/>
      <w:lvlJc w:val="left"/>
      <w:pPr>
        <w:ind w:left="3992" w:hanging="1440"/>
      </w:pPr>
      <w:rPr/>
    </w:lvl>
    <w:lvl w:ilvl="6">
      <w:start w:val="1"/>
      <w:numFmt w:val="decimal"/>
      <w:lvlText w:val="%1.%2.%3.%4.%5.%6.%7."/>
      <w:lvlJc w:val="left"/>
      <w:pPr>
        <w:ind w:left="4374" w:hanging="1800"/>
      </w:pPr>
      <w:rPr/>
    </w:lvl>
    <w:lvl w:ilvl="7">
      <w:start w:val="1"/>
      <w:numFmt w:val="decimal"/>
      <w:lvlText w:val="%1.%2.%3.%4.%5.%6.%7.%8."/>
      <w:lvlJc w:val="left"/>
      <w:pPr>
        <w:ind w:left="4554" w:hanging="1800"/>
      </w:pPr>
      <w:rPr/>
    </w:lvl>
    <w:lvl w:ilvl="8">
      <w:start w:val="1"/>
      <w:numFmt w:val="decimal"/>
      <w:lvlText w:val="%1.%2.%3.%4.%5.%6.%7.%8.%9."/>
      <w:lvlJc w:val="left"/>
      <w:pPr>
        <w:ind w:left="5094" w:hanging="21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842" w:hanging="1275"/>
      </w:pPr>
      <w:rPr/>
    </w:lvl>
    <w:lvl w:ilvl="2">
      <w:start w:val="1"/>
      <w:numFmt w:val="decimal"/>
      <w:lvlText w:val="%1.%2.%3."/>
      <w:lvlJc w:val="left"/>
      <w:pPr>
        <w:ind w:left="2049" w:hanging="1275"/>
      </w:pPr>
      <w:rPr/>
    </w:lvl>
    <w:lvl w:ilvl="3">
      <w:start w:val="1"/>
      <w:numFmt w:val="decimal"/>
      <w:lvlText w:val="%1.%2.%3.%4."/>
      <w:lvlJc w:val="left"/>
      <w:pPr>
        <w:ind w:left="2256" w:hanging="1275"/>
      </w:pPr>
      <w:rPr/>
    </w:lvl>
    <w:lvl w:ilvl="4">
      <w:start w:val="1"/>
      <w:numFmt w:val="decimal"/>
      <w:lvlText w:val="%1.%2.%3.%4.%5."/>
      <w:lvlJc w:val="left"/>
      <w:pPr>
        <w:ind w:left="2463" w:hanging="1275"/>
      </w:pPr>
      <w:rPr/>
    </w:lvl>
    <w:lvl w:ilvl="5">
      <w:start w:val="1"/>
      <w:numFmt w:val="decimal"/>
      <w:lvlText w:val="%1.%2.%3.%4.%5.%6."/>
      <w:lvlJc w:val="left"/>
      <w:pPr>
        <w:ind w:left="2670" w:hanging="1275"/>
      </w:pPr>
      <w:rPr/>
    </w:lvl>
    <w:lvl w:ilvl="6">
      <w:start w:val="1"/>
      <w:numFmt w:val="decimal"/>
      <w:lvlText w:val="%1.%2.%3.%4.%5.%6.%7."/>
      <w:lvlJc w:val="left"/>
      <w:pPr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ind w:left="3816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b/>
      <w:spacing w:val="10"/>
      <w:sz w:val="4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/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outlineLvl w:val="2"/>
    </w:pPr>
    <w:rPr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numPr>
        <w:ilvl w:val="0"/>
        <w:numId w:val="0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0"/>
        <w:numId w:val="0"/>
      </w:numPr>
      <w:tabs>
        <w:tab w:val="clear" w:pos="709"/>
        <w:tab w:val="left" w:pos="1152" w:leader="none"/>
      </w:tabs>
      <w:spacing w:before="240" w:after="60"/>
      <w:ind w:left="1152" w:right="0" w:hanging="1152"/>
      <w:jc w:val="both"/>
      <w:outlineLvl w:val="5"/>
    </w:pPr>
    <w:rPr>
      <w:rFonts w:eastAsia="Calibri"/>
      <w:i/>
      <w:iCs/>
      <w:sz w:val="20"/>
    </w:rPr>
  </w:style>
  <w:style w:type="paragraph" w:styleId="7">
    <w:name w:val="Heading 7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Normal"/>
    <w:next w:val="Normal"/>
    <w:qFormat/>
    <w:pPr>
      <w:numPr>
        <w:ilvl w:val="0"/>
        <w:numId w:val="0"/>
      </w:numPr>
      <w:tabs>
        <w:tab w:val="clear" w:pos="709"/>
        <w:tab w:val="left" w:pos="1440" w:leader="none"/>
      </w:tabs>
      <w:spacing w:before="240" w:after="60"/>
      <w:ind w:left="1440" w:right="0" w:hanging="1440"/>
      <w:jc w:val="both"/>
      <w:outlineLvl w:val="7"/>
    </w:pPr>
    <w:rPr>
      <w:rFonts w:ascii="Arial" w:hAnsi="Arial" w:eastAsia="Calibri" w:cs="Arial"/>
      <w:i/>
      <w:iCs/>
      <w:sz w:val="20"/>
    </w:rPr>
  </w:style>
  <w:style w:type="paragraph" w:styleId="9">
    <w:name w:val="Heading 9"/>
    <w:basedOn w:val="Normal"/>
    <w:next w:val="Normal"/>
    <w:qFormat/>
    <w:pPr>
      <w:numPr>
        <w:ilvl w:val="0"/>
        <w:numId w:val="0"/>
      </w:numPr>
      <w:tabs>
        <w:tab w:val="clear" w:pos="709"/>
        <w:tab w:val="left" w:pos="1584" w:leader="none"/>
      </w:tabs>
      <w:spacing w:before="240" w:after="60"/>
      <w:ind w:left="1584" w:right="0" w:hanging="1584"/>
      <w:jc w:val="both"/>
      <w:outlineLvl w:val="8"/>
    </w:pPr>
    <w:rPr>
      <w:rFonts w:ascii="Arial" w:hAnsi="Arial" w:eastAsia="Calibri" w:cs="Arial"/>
      <w:b/>
      <w:bCs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Основной текст (2)_"/>
    <w:basedOn w:val="DefaultParagraphFont"/>
    <w:link w:val="20"/>
    <w:qFormat/>
    <w:rsid w:val="00700642"/>
    <w:rPr>
      <w:rFonts w:ascii="Times New Roman" w:hAnsi="Times New Roman" w:eastAsia="Times New Roman" w:cs="Times New Roman"/>
      <w:shd w:fill="FFFFFF" w:val="clear"/>
    </w:rPr>
  </w:style>
  <w:style w:type="character" w:styleId="31" w:customStyle="1">
    <w:name w:val="Основной текст (3)_"/>
    <w:basedOn w:val="DefaultParagraphFont"/>
    <w:link w:val="30"/>
    <w:qFormat/>
    <w:rsid w:val="00700642"/>
    <w:rPr>
      <w:rFonts w:ascii="Times New Roman" w:hAnsi="Times New Roman" w:eastAsia="Times New Roman" w:cs="Times New Roman"/>
      <w:shd w:fill="FFFFFF" w:val="clear"/>
    </w:rPr>
  </w:style>
  <w:style w:type="character" w:styleId="Style5" w:customStyle="1">
    <w:name w:val="Подпись к таблице_"/>
    <w:basedOn w:val="DefaultParagraphFont"/>
    <w:link w:val="a5"/>
    <w:qFormat/>
    <w:rsid w:val="00700642"/>
    <w:rPr>
      <w:rFonts w:ascii="Times New Roman" w:hAnsi="Times New Roman" w:eastAsia="Times New Roman" w:cs="Times New Roman"/>
      <w:shd w:fill="FFFFFF" w:val="clear"/>
    </w:rPr>
  </w:style>
  <w:style w:type="character" w:styleId="Style6" w:customStyle="1">
    <w:name w:val="Подпись к таблице + Полужирный"/>
    <w:basedOn w:val="Style5"/>
    <w:qFormat/>
    <w:rsid w:val="00700642"/>
    <w:rPr>
      <w:rFonts w:ascii="Times New Roman" w:hAnsi="Times New Roman" w:eastAsia="Times New Roman" w:cs="Times New Roman"/>
      <w:color w:val="000000"/>
      <w:spacing w:val="0"/>
      <w:w w:val="100"/>
      <w:shd w:fill="FFFFFF" w:val="clear"/>
      <w:lang w:val="ru-RU" w:eastAsia="ru-RU" w:bidi="ru-RU"/>
    </w:rPr>
  </w:style>
  <w:style w:type="character" w:styleId="22" w:customStyle="1">
    <w:name w:val="Основной текст (2) + Малые прописные"/>
    <w:basedOn w:val="21"/>
    <w:qFormat/>
    <w:rsid w:val="00700642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2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Arial" w:hAnsi="Arial" w:cs="Arial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8z0">
    <w:name w:val="WW8Num8z0"/>
    <w:qFormat/>
    <w:rPr>
      <w:sz w:val="24"/>
      <w:szCs w:val="24"/>
    </w:rPr>
  </w:style>
  <w:style w:type="character" w:styleId="WW8Num8z1">
    <w:name w:val="WW8Num8z1"/>
    <w:qFormat/>
    <w:rPr>
      <w:b w:val="false"/>
      <w:i w:val="false"/>
      <w:color w:val="000000"/>
      <w:sz w:val="24"/>
      <w:szCs w:val="24"/>
    </w:rPr>
  </w:style>
  <w:style w:type="character" w:styleId="WW8Num8z2">
    <w:name w:val="WW8Num8z2"/>
    <w:qFormat/>
    <w:rPr>
      <w:i w:val="false"/>
      <w:sz w:val="24"/>
      <w:szCs w:val="24"/>
    </w:rPr>
  </w:style>
  <w:style w:type="character" w:styleId="WW8Num8z3">
    <w:name w:val="WW8Num8z3"/>
    <w:qFormat/>
    <w:rPr/>
  </w:style>
  <w:style w:type="character" w:styleId="WW8Num9z0">
    <w:name w:val="WW8Num9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  <w:b w:val="false"/>
      <w:i w:val="false"/>
      <w:color w:val="000000"/>
      <w:sz w:val="28"/>
      <w:szCs w:val="28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sz w:val="24"/>
      <w:szCs w:val="24"/>
    </w:rPr>
  </w:style>
  <w:style w:type="character" w:styleId="WW8Num23z1">
    <w:name w:val="WW8Num23z1"/>
    <w:qFormat/>
    <w:rPr>
      <w:b w:val="false"/>
      <w:i w:val="false"/>
      <w:color w:val="000000"/>
      <w:sz w:val="24"/>
      <w:szCs w:val="24"/>
    </w:rPr>
  </w:style>
  <w:style w:type="character" w:styleId="WW8Num23z2">
    <w:name w:val="WW8Num23z2"/>
    <w:qFormat/>
    <w:rPr>
      <w:i w:val="false"/>
      <w:sz w:val="24"/>
      <w:szCs w:val="24"/>
    </w:rPr>
  </w:style>
  <w:style w:type="character" w:styleId="WW8Num23z3">
    <w:name w:val="WW8Num23z3"/>
    <w:qFormat/>
    <w:rPr/>
  </w:style>
  <w:style w:type="character" w:styleId="WW8Num24z0">
    <w:name w:val="WW8Num24z0"/>
    <w:qFormat/>
    <w:rPr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1z0">
    <w:name w:val="WW8Num31z0"/>
    <w:qFormat/>
    <w:rPr>
      <w:rFonts w:eastAsia="Times New Roman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>
      <w:rFonts w:ascii="Wingdings" w:hAnsi="Wingdings" w:cs="Wingdings"/>
      <w:sz w:val="16"/>
    </w:rPr>
  </w:style>
  <w:style w:type="character" w:styleId="WW8Num34z0">
    <w:name w:val="WW8Num34z0"/>
    <w:qFormat/>
    <w:rPr>
      <w:sz w:val="24"/>
      <w:szCs w:val="24"/>
    </w:rPr>
  </w:style>
  <w:style w:type="character" w:styleId="WW8Num34z1">
    <w:name w:val="WW8Num34z1"/>
    <w:qFormat/>
    <w:rPr>
      <w:b w:val="false"/>
      <w:i w:val="false"/>
      <w:color w:val="000000"/>
      <w:sz w:val="24"/>
      <w:szCs w:val="24"/>
    </w:rPr>
  </w:style>
  <w:style w:type="character" w:styleId="WW8Num34z2">
    <w:name w:val="WW8Num34z2"/>
    <w:qFormat/>
    <w:rPr>
      <w:rFonts w:ascii="Symbol" w:hAnsi="Symbol" w:cs="Symbol"/>
      <w:i w:val="false"/>
      <w:sz w:val="24"/>
      <w:szCs w:val="24"/>
    </w:rPr>
  </w:style>
  <w:style w:type="character" w:styleId="WW8Num34z3">
    <w:name w:val="WW8Num34z3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/>
  </w:style>
  <w:style w:type="character" w:styleId="Style7">
    <w:name w:val="Основной шрифт абзаца"/>
    <w:qFormat/>
    <w:rPr/>
  </w:style>
  <w:style w:type="character" w:styleId="Style8">
    <w:name w:val="Название Знак"/>
    <w:qFormat/>
    <w:rPr>
      <w:sz w:val="28"/>
      <w:lang w:val="ru-RU"/>
    </w:rPr>
  </w:style>
  <w:style w:type="character" w:styleId="51">
    <w:name w:val="Заголовок 5 Знак"/>
    <w:qFormat/>
    <w:rPr>
      <w:b/>
      <w:bCs/>
      <w:i/>
      <w:iCs/>
      <w:sz w:val="26"/>
      <w:szCs w:val="26"/>
    </w:rPr>
  </w:style>
  <w:style w:type="character" w:styleId="61">
    <w:name w:val="Заголовок 6 Знак"/>
    <w:qFormat/>
    <w:rPr>
      <w:rFonts w:eastAsia="Calibri"/>
      <w:i/>
      <w:iCs/>
    </w:rPr>
  </w:style>
  <w:style w:type="character" w:styleId="71">
    <w:name w:val="Заголовок 7 Знак"/>
    <w:qFormat/>
    <w:rPr>
      <w:rFonts w:eastAsia="Calibri"/>
      <w:sz w:val="24"/>
      <w:szCs w:val="24"/>
    </w:rPr>
  </w:style>
  <w:style w:type="character" w:styleId="81">
    <w:name w:val="Заголовок 8 Знак"/>
    <w:qFormat/>
    <w:rPr>
      <w:rFonts w:ascii="Arial" w:hAnsi="Arial" w:eastAsia="Calibri" w:cs="Arial"/>
      <w:i/>
      <w:iCs/>
    </w:rPr>
  </w:style>
  <w:style w:type="character" w:styleId="91">
    <w:name w:val="Заголовок 9 Знак"/>
    <w:qFormat/>
    <w:rPr>
      <w:rFonts w:ascii="Arial" w:hAnsi="Arial" w:eastAsia="Calibri" w:cs="Arial"/>
      <w:b/>
      <w:bCs/>
      <w:i/>
      <w:iCs/>
      <w:sz w:val="18"/>
      <w:szCs w:val="18"/>
    </w:rPr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1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2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11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23">
    <w:name w:val="Заголовок 2 Знак"/>
    <w:qFormat/>
    <w:rPr>
      <w:rFonts w:ascii="Cambria" w:hAnsi="Cambria" w:eastAsia="Times New Roman" w:cs="Times New Roman"/>
      <w:color w:val="365F91"/>
      <w:sz w:val="26"/>
      <w:szCs w:val="26"/>
    </w:rPr>
  </w:style>
  <w:style w:type="character" w:styleId="32">
    <w:name w:val="Заголовок 3 Знак"/>
    <w:qFormat/>
    <w:rPr>
      <w:sz w:val="28"/>
    </w:rPr>
  </w:style>
  <w:style w:type="character" w:styleId="41">
    <w:name w:val="Заголовок 4 Знак"/>
    <w:qFormat/>
    <w:rPr>
      <w:sz w:val="28"/>
    </w:rPr>
  </w:style>
  <w:style w:type="character" w:styleId="111">
    <w:name w:val="Заголовок 1 Знак1"/>
    <w:qFormat/>
    <w:rPr>
      <w:b/>
      <w:spacing w:val="10"/>
      <w:sz w:val="40"/>
    </w:rPr>
  </w:style>
  <w:style w:type="character" w:styleId="231">
    <w:name w:val="Заголовок 2 Знак3"/>
    <w:qFormat/>
    <w:rPr>
      <w:sz w:val="24"/>
    </w:rPr>
  </w:style>
  <w:style w:type="character" w:styleId="Style13">
    <w:name w:val="Текст сноски Знак"/>
    <w:qFormat/>
    <w:rPr/>
  </w:style>
  <w:style w:type="character" w:styleId="ConsPlusNormal">
    <w:name w:val="ConsPlusNormal Знак"/>
    <w:qFormat/>
    <w:rPr>
      <w:rFonts w:ascii="Arial" w:hAnsi="Arial" w:eastAsia="Calibri" w:cs="Arial"/>
      <w:sz w:val="22"/>
      <w:szCs w:val="22"/>
    </w:rPr>
  </w:style>
  <w:style w:type="character" w:styleId="Style14">
    <w:name w:val="Основной текст Знак"/>
    <w:qFormat/>
    <w:rPr>
      <w:rFonts w:ascii="Times New Roman" w:hAnsi="Times New Roman" w:eastAsia="Times New Roman" w:cs="Times New Roman"/>
      <w:sz w:val="28"/>
      <w:szCs w:val="24"/>
    </w:rPr>
  </w:style>
  <w:style w:type="character" w:styleId="Style15">
    <w:name w:val="Основной текст с отступом Знак"/>
    <w:qFormat/>
    <w:rPr>
      <w:sz w:val="28"/>
      <w:szCs w:val="24"/>
    </w:rPr>
  </w:style>
  <w:style w:type="character" w:styleId="HTML">
    <w:name w:val="Стандартный HTML Знак"/>
    <w:qFormat/>
    <w:rPr>
      <w:rFonts w:ascii="Courier New" w:hAnsi="Courier New" w:cs="Courier New"/>
      <w:color w:val="000090"/>
    </w:rPr>
  </w:style>
  <w:style w:type="character" w:styleId="Style16">
    <w:name w:val="Номер страницы"/>
    <w:rPr/>
  </w:style>
  <w:style w:type="character" w:styleId="42">
    <w:name w:val="Знак Знак4"/>
    <w:qFormat/>
    <w:rPr>
      <w:rFonts w:ascii="Arial" w:hAnsi="Arial" w:cs="Arial"/>
      <w:sz w:val="24"/>
      <w:szCs w:val="24"/>
      <w:lang w:val="ru-RU" w:bidi="ar-SA"/>
    </w:rPr>
  </w:style>
  <w:style w:type="character" w:styleId="24">
    <w:name w:val="Основной текст 2 Знак"/>
    <w:qFormat/>
    <w:rPr>
      <w:sz w:val="24"/>
    </w:rPr>
  </w:style>
  <w:style w:type="character" w:styleId="Style17">
    <w:name w:val="Подпись Знак"/>
    <w:qFormat/>
    <w:rPr>
      <w:b/>
      <w:sz w:val="28"/>
      <w:szCs w:val="28"/>
    </w:rPr>
  </w:style>
  <w:style w:type="character" w:styleId="12">
    <w:name w:val="Основной текст Знак1"/>
    <w:qFormat/>
    <w:rPr>
      <w:b/>
      <w:spacing w:val="40"/>
      <w:sz w:val="28"/>
    </w:rPr>
  </w:style>
  <w:style w:type="character" w:styleId="Style18">
    <w:name w:val="Красная строка Знак"/>
    <w:qFormat/>
    <w:rPr>
      <w:b w:val="false"/>
      <w:spacing w:val="40"/>
      <w:sz w:val="24"/>
      <w:szCs w:val="24"/>
    </w:rPr>
  </w:style>
  <w:style w:type="character" w:styleId="33">
    <w:name w:val="Основной текст 3 Знак"/>
    <w:qFormat/>
    <w:rPr>
      <w:sz w:val="16"/>
      <w:szCs w:val="16"/>
    </w:rPr>
  </w:style>
  <w:style w:type="character" w:styleId="BodyTextIndentChar">
    <w:name w:val="Body Text Indent Char"/>
    <w:qFormat/>
    <w:rPr>
      <w:rFonts w:cs="Times New Roman"/>
      <w:sz w:val="24"/>
      <w:szCs w:val="24"/>
      <w:lang w:val="ru-RU" w:bidi="ar-SA"/>
    </w:rPr>
  </w:style>
  <w:style w:type="character" w:styleId="BodyTextChar">
    <w:name w:val="Body Text Char"/>
    <w:qFormat/>
    <w:rPr>
      <w:rFonts w:cs="Times New Roman"/>
      <w:sz w:val="24"/>
      <w:szCs w:val="24"/>
      <w:lang w:val="ru-RU" w:bidi="ar-SA"/>
    </w:rPr>
  </w:style>
  <w:style w:type="character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Style19">
    <w:name w:val="Посещённая гиперссылка"/>
    <w:rPr>
      <w:color w:val="800080"/>
      <w:u w:val="single"/>
    </w:rPr>
  </w:style>
  <w:style w:type="character" w:styleId="Style20">
    <w:name w:val="Символ сноски"/>
    <w:qFormat/>
    <w:rPr>
      <w:vertAlign w:val="superscript"/>
    </w:rPr>
  </w:style>
  <w:style w:type="character" w:styleId="Style21">
    <w:name w:val="Знак Знак"/>
    <w:qFormat/>
    <w:rPr>
      <w:rFonts w:ascii="Tahoma" w:hAnsi="Tahoma" w:cs="Times New Roman"/>
      <w:sz w:val="20"/>
      <w:szCs w:val="20"/>
      <w:lang w:val="en-US"/>
    </w:rPr>
  </w:style>
  <w:style w:type="character" w:styleId="35">
    <w:name w:val="Знак Знак35"/>
    <w:qFormat/>
    <w:rPr>
      <w:rFonts w:ascii="Arial" w:hAnsi="Arial" w:cs="Arial"/>
      <w:b/>
      <w:bCs/>
      <w:i/>
      <w:iCs/>
      <w:sz w:val="28"/>
      <w:szCs w:val="28"/>
    </w:rPr>
  </w:style>
  <w:style w:type="character" w:styleId="34">
    <w:name w:val="Знак Знак34"/>
    <w:qFormat/>
    <w:rPr>
      <w:rFonts w:ascii="Arial" w:hAnsi="Arial" w:cs="Arial"/>
      <w:b/>
      <w:bCs/>
      <w:sz w:val="26"/>
      <w:szCs w:val="26"/>
    </w:rPr>
  </w:style>
  <w:style w:type="character" w:styleId="331">
    <w:name w:val="Знак Знак33"/>
    <w:qFormat/>
    <w:rPr>
      <w:rFonts w:ascii="Times New Roman" w:hAnsi="Times New Roman" w:cs="Times New Roman"/>
      <w:b/>
      <w:sz w:val="20"/>
      <w:szCs w:val="20"/>
    </w:rPr>
  </w:style>
  <w:style w:type="character" w:styleId="321">
    <w:name w:val="Знак Знак32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22">
    <w:name w:val="Текст примечания Знак"/>
    <w:qFormat/>
    <w:rPr>
      <w:rFonts w:ascii="Calibri" w:hAnsi="Calibri" w:eastAsia="Calibri" w:cs="Calibri"/>
    </w:rPr>
  </w:style>
  <w:style w:type="character" w:styleId="Style23">
    <w:name w:val="Тема примечания Знак"/>
    <w:qFormat/>
    <w:rPr>
      <w:rFonts w:ascii="Calibri" w:hAnsi="Calibri" w:eastAsia="Calibri" w:cs="Calibri"/>
      <w:b/>
      <w:bCs/>
    </w:rPr>
  </w:style>
  <w:style w:type="character" w:styleId="Blk">
    <w:name w:val="blk"/>
    <w:qFormat/>
    <w:rPr>
      <w:rFonts w:cs="Times New Roman"/>
    </w:rPr>
  </w:style>
  <w:style w:type="character" w:styleId="U">
    <w:name w:val="u"/>
    <w:qFormat/>
    <w:rPr>
      <w:rFonts w:cs="Times New Roman"/>
    </w:rPr>
  </w:style>
  <w:style w:type="character" w:styleId="17">
    <w:name w:val="Знак Знак17"/>
    <w:qFormat/>
    <w:rPr>
      <w:rFonts w:eastAsia="Times New Roman" w:cs="Times New Roman"/>
    </w:rPr>
  </w:style>
  <w:style w:type="character" w:styleId="16">
    <w:name w:val="Знак Знак16"/>
    <w:qFormat/>
    <w:rPr>
      <w:rFonts w:eastAsia="Times New Roman" w:cs="Times New Roman"/>
    </w:rPr>
  </w:style>
  <w:style w:type="character" w:styleId="13">
    <w:name w:val="бпОсновной текст Знак Знак1"/>
    <w:qFormat/>
    <w:rPr>
      <w:rFonts w:ascii="Times New Roman" w:hAnsi="Times New Roman" w:cs="Times New Roman"/>
      <w:sz w:val="24"/>
      <w:szCs w:val="24"/>
    </w:rPr>
  </w:style>
  <w:style w:type="character" w:styleId="36">
    <w:name w:val="Основной текст с отступом 3 Знак"/>
    <w:qFormat/>
    <w:rPr>
      <w:rFonts w:eastAsia="Calibri"/>
      <w:sz w:val="16"/>
      <w:szCs w:val="16"/>
    </w:rPr>
  </w:style>
  <w:style w:type="character" w:styleId="Style24">
    <w:name w:val="Текст Знак"/>
    <w:qFormat/>
    <w:rPr>
      <w:rFonts w:ascii="Courier New" w:hAnsi="Courier New" w:eastAsia="Calibri" w:cs="Courier New"/>
    </w:rPr>
  </w:style>
  <w:style w:type="character" w:styleId="14">
    <w:name w:val="Обычный1 Знак"/>
    <w:qFormat/>
    <w:rPr>
      <w:rFonts w:eastAsia="Calibri"/>
      <w:sz w:val="22"/>
      <w:szCs w:val="22"/>
    </w:rPr>
  </w:style>
  <w:style w:type="character" w:styleId="Heading1Char">
    <w:name w:val="Heading 1 Char"/>
    <w:qFormat/>
    <w:rPr>
      <w:rFonts w:ascii="Arial" w:hAnsi="Arial" w:cs="Arial"/>
      <w:b/>
      <w:bCs/>
      <w:color w:val="000080"/>
      <w:lang w:val="ru-RU"/>
    </w:rPr>
  </w:style>
  <w:style w:type="character" w:styleId="Heading2Char">
    <w:name w:val="Heading 2 Char"/>
    <w:qFormat/>
    <w:rPr>
      <w:rFonts w:ascii="Arial" w:hAnsi="Arial" w:cs="Arial"/>
      <w:sz w:val="24"/>
      <w:szCs w:val="24"/>
      <w:lang w:val="ru-RU"/>
    </w:rPr>
  </w:style>
  <w:style w:type="character" w:styleId="Heading3Char">
    <w:name w:val="Heading 3 Char"/>
    <w:qFormat/>
    <w:rPr>
      <w:rFonts w:ascii="Arial" w:hAnsi="Arial" w:cs="Arial"/>
      <w:b/>
      <w:bCs/>
      <w:sz w:val="24"/>
      <w:szCs w:val="24"/>
      <w:lang w:val="ru-RU"/>
    </w:rPr>
  </w:style>
  <w:style w:type="character" w:styleId="Heading4Char">
    <w:name w:val="Heading 4 Char"/>
    <w:qFormat/>
    <w:rPr>
      <w:rFonts w:cs="Times New Roman"/>
      <w:sz w:val="24"/>
      <w:szCs w:val="24"/>
      <w:lang w:val="ru-RU"/>
    </w:rPr>
  </w:style>
  <w:style w:type="character" w:styleId="BodyTextChar1">
    <w:name w:val="Body Text Char1"/>
    <w:qFormat/>
    <w:rPr>
      <w:rFonts w:cs="Times New Roman"/>
      <w:sz w:val="24"/>
      <w:szCs w:val="24"/>
      <w:lang w:val="ru-RU"/>
    </w:rPr>
  </w:style>
  <w:style w:type="character" w:styleId="BodyTextIndentChar1">
    <w:name w:val="Body Text Indent Char1"/>
    <w:qFormat/>
    <w:rPr>
      <w:rFonts w:cs="Times New Roman"/>
      <w:sz w:val="24"/>
      <w:szCs w:val="24"/>
      <w:lang w:val="ru-RU"/>
    </w:rPr>
  </w:style>
  <w:style w:type="character" w:styleId="15">
    <w:name w:val="Знак Знак15"/>
    <w:qFormat/>
    <w:rPr>
      <w:rFonts w:ascii="Times New Roman" w:hAnsi="Times New Roman" w:cs="Times New Roman"/>
      <w:sz w:val="24"/>
      <w:szCs w:val="24"/>
    </w:rPr>
  </w:style>
  <w:style w:type="character" w:styleId="Style25">
    <w:name w:val="Выделение жирным"/>
    <w:qFormat/>
    <w:rPr>
      <w:rFonts w:cs="Times New Roman"/>
      <w:b/>
      <w:bCs/>
    </w:rPr>
  </w:style>
  <w:style w:type="character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styleId="121">
    <w:name w:val="Знак Знак12"/>
    <w:qFormat/>
    <w:rPr>
      <w:rFonts w:ascii="Arial" w:hAnsi="Arial" w:cs="Arial"/>
      <w:b/>
      <w:bCs/>
      <w:color w:val="000080"/>
      <w:sz w:val="20"/>
      <w:szCs w:val="20"/>
    </w:rPr>
  </w:style>
  <w:style w:type="character" w:styleId="SignatureChar">
    <w:name w:val="Signature Char"/>
    <w:qFormat/>
    <w:rPr>
      <w:rFonts w:cs="Times New Roman"/>
      <w:b/>
      <w:bCs/>
      <w:sz w:val="28"/>
      <w:szCs w:val="28"/>
      <w:lang w:val="ru-RU"/>
    </w:rPr>
  </w:style>
  <w:style w:type="character" w:styleId="Style26">
    <w:name w:val="Цветовое выделение"/>
    <w:qFormat/>
    <w:rPr>
      <w:b/>
      <w:color w:val="000080"/>
      <w:sz w:val="20"/>
    </w:rPr>
  </w:style>
  <w:style w:type="character" w:styleId="Style27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styleId="Style28">
    <w:name w:val="Продолжение ссылки"/>
    <w:qFormat/>
    <w:rPr>
      <w:rFonts w:cs="Times New Roman"/>
      <w:b w:val="false"/>
      <w:bCs w:val="false"/>
      <w:color w:val="008000"/>
      <w:sz w:val="20"/>
      <w:szCs w:val="20"/>
      <w:u w:val="single"/>
    </w:rPr>
  </w:style>
  <w:style w:type="character" w:styleId="BodyTextFirstIndentChar">
    <w:name w:val="Body Text First Indent Char"/>
    <w:qFormat/>
    <w:rPr>
      <w:rFonts w:cs="Times New Roman"/>
      <w:sz w:val="24"/>
      <w:szCs w:val="24"/>
      <w:lang w:val="ru-RU"/>
    </w:rPr>
  </w:style>
  <w:style w:type="character" w:styleId="BodyText2Char">
    <w:name w:val="Body Text 2 Char"/>
    <w:qFormat/>
    <w:rPr>
      <w:rFonts w:cs="Times New Roman"/>
      <w:sz w:val="24"/>
      <w:szCs w:val="24"/>
      <w:lang w:val="ru-RU"/>
    </w:rPr>
  </w:style>
  <w:style w:type="character" w:styleId="BodyText3Char">
    <w:name w:val="Body Text 3 Char"/>
    <w:qFormat/>
    <w:rPr>
      <w:rFonts w:cs="Times New Roman"/>
      <w:sz w:val="16"/>
      <w:szCs w:val="16"/>
      <w:lang w:val="ru-RU"/>
    </w:rPr>
  </w:style>
  <w:style w:type="character" w:styleId="27">
    <w:name w:val="Знак Знак27"/>
    <w:qFormat/>
    <w:rPr>
      <w:rFonts w:cs="Times New Roman"/>
      <w:sz w:val="28"/>
      <w:szCs w:val="28"/>
      <w:lang w:val="ru-RU"/>
    </w:rPr>
  </w:style>
  <w:style w:type="character" w:styleId="26">
    <w:name w:val="Знак Знак26"/>
    <w:qFormat/>
    <w:rPr>
      <w:rFonts w:ascii="Arial" w:hAnsi="Arial" w:cs="Arial"/>
      <w:b/>
      <w:bCs/>
      <w:sz w:val="26"/>
      <w:szCs w:val="26"/>
      <w:lang w:val="ru-RU"/>
    </w:rPr>
  </w:style>
  <w:style w:type="character" w:styleId="25">
    <w:name w:val="Знак Знак25"/>
    <w:qFormat/>
    <w:rPr>
      <w:rFonts w:ascii="Arial" w:hAnsi="Arial" w:cs="Arial"/>
      <w:b/>
      <w:bCs/>
      <w:sz w:val="24"/>
      <w:szCs w:val="24"/>
      <w:lang w:val="ru-RU"/>
    </w:rPr>
  </w:style>
  <w:style w:type="character" w:styleId="Style29">
    <w:name w:val="Выделение"/>
    <w:qFormat/>
    <w:rPr>
      <w:rFonts w:cs="Times New Roman"/>
      <w:i/>
      <w:iCs/>
    </w:rPr>
  </w:style>
  <w:style w:type="character" w:styleId="HTML1">
    <w:name w:val="Стандартный HTML Знак1"/>
    <w:qFormat/>
    <w:rPr>
      <w:rFonts w:ascii="Courier New" w:hAnsi="Courier New" w:cs="Courier New"/>
      <w:lang w:bidi="ar-SA"/>
    </w:rPr>
  </w:style>
  <w:style w:type="character" w:styleId="28">
    <w:name w:val="Знак Знак28"/>
    <w:qFormat/>
    <w:rPr>
      <w:rFonts w:cs="Times New Roman"/>
      <w:sz w:val="24"/>
      <w:szCs w:val="24"/>
      <w:lang w:val="ru-RU"/>
    </w:rPr>
  </w:style>
  <w:style w:type="character" w:styleId="221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32">
    <w:name w:val="Знак Знак23"/>
    <w:qFormat/>
    <w:rPr>
      <w:rFonts w:ascii="Times New Roman" w:hAnsi="Times New Roman" w:cs="Times New Roman"/>
      <w:sz w:val="24"/>
      <w:szCs w:val="24"/>
    </w:rPr>
  </w:style>
  <w:style w:type="character" w:styleId="222">
    <w:name w:val="Знак Знак22"/>
    <w:qFormat/>
    <w:rPr>
      <w:rFonts w:ascii="Times New Roman" w:hAnsi="Times New Roman" w:cs="Times New Roman"/>
      <w:sz w:val="28"/>
      <w:szCs w:val="28"/>
    </w:rPr>
  </w:style>
  <w:style w:type="character" w:styleId="211">
    <w:name w:val="Знак Знак21"/>
    <w:qFormat/>
    <w:rPr>
      <w:rFonts w:ascii="Arial" w:hAnsi="Arial" w:cs="Arial"/>
      <w:b/>
      <w:bCs/>
      <w:sz w:val="26"/>
      <w:szCs w:val="26"/>
    </w:rPr>
  </w:style>
  <w:style w:type="character" w:styleId="2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styleId="212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2211">
    <w:name w:val="Знак Знак221"/>
    <w:qFormat/>
    <w:rPr>
      <w:rFonts w:cs="Times New Roman"/>
      <w:sz w:val="24"/>
      <w:szCs w:val="24"/>
      <w:lang w:val="ru-RU"/>
    </w:rPr>
  </w:style>
  <w:style w:type="character" w:styleId="2111">
    <w:name w:val="Знак Знак211"/>
    <w:qFormat/>
    <w:rPr>
      <w:rFonts w:cs="Times New Roman"/>
      <w:sz w:val="28"/>
      <w:szCs w:val="28"/>
      <w:lang w:val="ru-RU"/>
    </w:rPr>
  </w:style>
  <w:style w:type="character" w:styleId="201">
    <w:name w:val="Знак Знак201"/>
    <w:qFormat/>
    <w:rPr>
      <w:rFonts w:ascii="Arial" w:hAnsi="Arial" w:cs="Arial"/>
      <w:b/>
      <w:bCs/>
      <w:sz w:val="26"/>
      <w:szCs w:val="26"/>
      <w:lang w:val="ru-RU"/>
    </w:rPr>
  </w:style>
  <w:style w:type="character" w:styleId="19">
    <w:name w:val="Знак Знак19"/>
    <w:qFormat/>
    <w:rPr>
      <w:rFonts w:cs="Times New Roman"/>
      <w:b/>
      <w:bCs/>
      <w:sz w:val="28"/>
      <w:szCs w:val="28"/>
      <w:lang w:val="ru-RU"/>
    </w:rPr>
  </w:style>
  <w:style w:type="character" w:styleId="18">
    <w:name w:val="Знак Знак18"/>
    <w:qFormat/>
    <w:rPr>
      <w:rFonts w:cs="Times New Roman"/>
      <w:b/>
      <w:bCs/>
      <w:i/>
      <w:iCs/>
      <w:sz w:val="26"/>
      <w:szCs w:val="26"/>
      <w:lang w:val="ru-RU"/>
    </w:rPr>
  </w:style>
  <w:style w:type="character" w:styleId="151">
    <w:name w:val="Знак Знак151"/>
    <w:qFormat/>
    <w:rPr>
      <w:rFonts w:ascii="Arial" w:hAnsi="Arial" w:cs="Arial"/>
      <w:i/>
      <w:iCs/>
      <w:lang w:val="ru-RU"/>
    </w:rPr>
  </w:style>
  <w:style w:type="character" w:styleId="112">
    <w:name w:val="Знак Знак11"/>
    <w:qFormat/>
    <w:rPr>
      <w:rFonts w:cs="Times New Roman"/>
      <w:sz w:val="24"/>
      <w:szCs w:val="24"/>
      <w:lang w:val="ru-RU"/>
    </w:rPr>
  </w:style>
  <w:style w:type="character" w:styleId="92">
    <w:name w:val="Знак Знак9"/>
    <w:qFormat/>
    <w:rPr>
      <w:rFonts w:cs="Times New Roman"/>
      <w:lang w:val="ru-RU"/>
    </w:rPr>
  </w:style>
  <w:style w:type="character" w:styleId="37">
    <w:name w:val="Знак Знак3"/>
    <w:qFormat/>
    <w:rPr>
      <w:rFonts w:cs="Times New Roman"/>
      <w:b/>
      <w:bCs/>
      <w:sz w:val="28"/>
      <w:szCs w:val="28"/>
      <w:lang w:val="ru-RU"/>
    </w:rPr>
  </w:style>
  <w:style w:type="character" w:styleId="141">
    <w:name w:val="Знак Знак14"/>
    <w:qFormat/>
    <w:rPr>
      <w:rFonts w:cs="Times New Roman"/>
      <w:sz w:val="24"/>
      <w:szCs w:val="24"/>
      <w:lang w:val="ru-RU"/>
    </w:rPr>
  </w:style>
  <w:style w:type="character" w:styleId="29">
    <w:name w:val="Знак Знак2"/>
    <w:qFormat/>
    <w:rPr>
      <w:rFonts w:ascii="Times New Roman" w:hAnsi="Times New Roman" w:cs="Times New Roman"/>
      <w:sz w:val="24"/>
      <w:szCs w:val="24"/>
      <w:lang w:val="ru-RU"/>
    </w:rPr>
  </w:style>
  <w:style w:type="character" w:styleId="10">
    <w:name w:val="Знак Знак10"/>
    <w:qFormat/>
    <w:rPr>
      <w:rFonts w:cs="Times New Roman"/>
      <w:sz w:val="24"/>
      <w:szCs w:val="24"/>
      <w:lang w:val="ru-RU"/>
    </w:rPr>
  </w:style>
  <w:style w:type="character" w:styleId="110">
    <w:name w:val="Знак Знак1"/>
    <w:qFormat/>
    <w:rPr>
      <w:rFonts w:cs="Times New Roman"/>
      <w:sz w:val="16"/>
      <w:szCs w:val="16"/>
      <w:lang w:val="ru-RU"/>
    </w:rPr>
  </w:style>
  <w:style w:type="character" w:styleId="52">
    <w:name w:val="Знак Знак5"/>
    <w:qFormat/>
    <w:rPr>
      <w:rFonts w:ascii="Tahoma" w:hAnsi="Tahoma" w:cs="Tahoma"/>
      <w:sz w:val="16"/>
      <w:szCs w:val="16"/>
    </w:rPr>
  </w:style>
  <w:style w:type="character" w:styleId="1211">
    <w:name w:val="Знак Знак121"/>
    <w:qFormat/>
    <w:rPr>
      <w:rFonts w:ascii="Arial" w:hAnsi="Arial" w:cs="Arial"/>
      <w:b/>
      <w:bCs/>
      <w:color w:val="000080"/>
      <w:sz w:val="20"/>
      <w:szCs w:val="20"/>
    </w:rPr>
  </w:style>
  <w:style w:type="character" w:styleId="113">
    <w:name w:val="Текст выноски Знак1"/>
    <w:qFormat/>
    <w:rPr>
      <w:rFonts w:ascii="Tahoma" w:hAnsi="Tahoma" w:cs="Tahoma"/>
      <w:sz w:val="16"/>
      <w:szCs w:val="16"/>
      <w:lang w:bidi="ar-SA"/>
    </w:rPr>
  </w:style>
  <w:style w:type="character" w:styleId="114">
    <w:name w:val="Схема документа Знак1"/>
    <w:qFormat/>
    <w:rPr>
      <w:rFonts w:ascii="Tahoma" w:hAnsi="Tahoma" w:cs="Tahoma"/>
      <w:sz w:val="16"/>
      <w:szCs w:val="16"/>
      <w:lang w:bidi="ar-SA"/>
    </w:rPr>
  </w:style>
  <w:style w:type="character" w:styleId="210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Heading1Char1">
    <w:name w:val="Heading 1 Char1"/>
    <w:qFormat/>
    <w:rPr>
      <w:rFonts w:ascii="Tahoma" w:hAnsi="Tahoma" w:eastAsia="Calibri" w:cs="Tahoma"/>
      <w:lang w:val="en-US" w:bidi="ar-SA"/>
    </w:rPr>
  </w:style>
  <w:style w:type="character" w:styleId="Heading2Char1">
    <w:name w:val="Heading 2 Char1"/>
    <w:qFormat/>
    <w:rPr>
      <w:rFonts w:ascii="Arial" w:hAnsi="Arial" w:eastAsia="Calibri" w:cs="Arial"/>
      <w:b/>
      <w:bCs/>
      <w:i/>
      <w:iCs/>
      <w:sz w:val="28"/>
      <w:szCs w:val="28"/>
      <w:lang w:val="ru-RU" w:bidi="ar-SA"/>
    </w:rPr>
  </w:style>
  <w:style w:type="character" w:styleId="Heading3Char1">
    <w:name w:val="Heading 3 Char1"/>
    <w:qFormat/>
    <w:rPr>
      <w:rFonts w:ascii="Arial" w:hAnsi="Arial" w:eastAsia="Calibri" w:cs="Arial"/>
      <w:b/>
      <w:bCs/>
      <w:sz w:val="26"/>
      <w:szCs w:val="26"/>
      <w:lang w:val="ru-RU" w:bidi="ar-SA"/>
    </w:rPr>
  </w:style>
  <w:style w:type="character" w:styleId="Heading4Char1">
    <w:name w:val="Heading 4 Char1"/>
    <w:qFormat/>
    <w:rPr>
      <w:rFonts w:eastAsia="Calibri"/>
      <w:b/>
      <w:sz w:val="24"/>
      <w:lang w:val="ru-RU" w:bidi="ar-SA"/>
    </w:rPr>
  </w:style>
  <w:style w:type="character" w:styleId="Heading5Char">
    <w:name w:val="Heading 5 Char"/>
    <w:qFormat/>
    <w:rPr>
      <w:rFonts w:eastAsia="Calibri"/>
      <w:b/>
      <w:bCs/>
      <w:i/>
      <w:iCs/>
      <w:sz w:val="26"/>
      <w:szCs w:val="26"/>
      <w:lang w:val="ru-RU" w:bidi="ar-SA"/>
    </w:rPr>
  </w:style>
  <w:style w:type="character" w:styleId="Heading6Char">
    <w:name w:val="Heading 6 Char"/>
    <w:qFormat/>
    <w:rPr>
      <w:rFonts w:eastAsia="Calibri"/>
      <w:i/>
      <w:iCs/>
      <w:sz w:val="22"/>
      <w:szCs w:val="22"/>
      <w:lang w:val="ru-RU" w:bidi="ar-SA"/>
    </w:rPr>
  </w:style>
  <w:style w:type="character" w:styleId="Heading7Char">
    <w:name w:val="Heading 7 Char"/>
    <w:qFormat/>
    <w:rPr>
      <w:rFonts w:eastAsia="Calibri"/>
      <w:sz w:val="24"/>
      <w:szCs w:val="24"/>
      <w:lang w:val="ru-RU" w:bidi="ar-SA"/>
    </w:rPr>
  </w:style>
  <w:style w:type="character" w:styleId="Heading8Char">
    <w:name w:val="Heading 8 Char"/>
    <w:qFormat/>
    <w:rPr>
      <w:rFonts w:ascii="Arial" w:hAnsi="Arial" w:eastAsia="Calibri" w:cs="Arial"/>
      <w:i/>
      <w:iCs/>
      <w:lang w:val="ru-RU" w:bidi="ar-SA"/>
    </w:rPr>
  </w:style>
  <w:style w:type="character" w:styleId="Heading9Char">
    <w:name w:val="Heading 9 Char"/>
    <w:qFormat/>
    <w:rPr>
      <w:rFonts w:ascii="Arial" w:hAnsi="Arial" w:eastAsia="Calibri" w:cs="Arial"/>
      <w:b/>
      <w:bCs/>
      <w:i/>
      <w:iCs/>
      <w:sz w:val="18"/>
      <w:szCs w:val="18"/>
      <w:lang w:val="ru-RU" w:bidi="ar-SA"/>
    </w:rPr>
  </w:style>
  <w:style w:type="character" w:styleId="HeaderChar1">
    <w:name w:val="Head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FooterChar1">
    <w:name w:val="Footer Char1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BodyTextChar2">
    <w:name w:val="Body Text Char2"/>
    <w:qFormat/>
    <w:rPr>
      <w:rFonts w:eastAsia="Calibri"/>
      <w:sz w:val="28"/>
      <w:szCs w:val="24"/>
      <w:lang w:val="ru-RU" w:bidi="ar-SA"/>
    </w:rPr>
  </w:style>
  <w:style w:type="character" w:styleId="BodyTextIndentChar2">
    <w:name w:val="Body Text Indent Char2"/>
    <w:qFormat/>
    <w:rPr>
      <w:rFonts w:eastAsia="Calibri"/>
      <w:sz w:val="28"/>
      <w:szCs w:val="24"/>
      <w:lang w:val="ru-RU" w:bidi="ar-SA"/>
    </w:rPr>
  </w:style>
  <w:style w:type="character" w:styleId="HTMLPreformattedChar">
    <w:name w:val="HTML Preformatted Char"/>
    <w:qFormat/>
    <w:rPr>
      <w:rFonts w:ascii="Courier New" w:hAnsi="Courier New" w:eastAsia="Calibri" w:cs="Courier New"/>
      <w:color w:val="000090"/>
      <w:lang w:val="ru-RU" w:bidi="ar-SA"/>
    </w:rPr>
  </w:style>
  <w:style w:type="character" w:styleId="BodyText2Char1">
    <w:name w:val="Body Text 2 Char1"/>
    <w:qFormat/>
    <w:rPr>
      <w:rFonts w:eastAsia="Calibri"/>
      <w:b/>
      <w:bCs/>
      <w:sz w:val="24"/>
      <w:szCs w:val="24"/>
      <w:lang w:val="ru-RU" w:bidi="ar-SA"/>
    </w:rPr>
  </w:style>
  <w:style w:type="character" w:styleId="SignatureChar1">
    <w:name w:val="Signature Char1"/>
    <w:qFormat/>
    <w:rPr>
      <w:rFonts w:eastAsia="Calibri"/>
      <w:b/>
      <w:sz w:val="28"/>
      <w:szCs w:val="28"/>
      <w:lang w:val="ru-RU" w:bidi="ar-SA"/>
    </w:rPr>
  </w:style>
  <w:style w:type="character" w:styleId="BodyTextFirstIndentChar1">
    <w:name w:val="Body Text First Indent Char1"/>
    <w:qFormat/>
    <w:rPr>
      <w:rFonts w:eastAsia="Calibri"/>
      <w:sz w:val="24"/>
      <w:szCs w:val="24"/>
      <w:lang w:val="ru-RU" w:bidi="ar-SA"/>
    </w:rPr>
  </w:style>
  <w:style w:type="character" w:styleId="BodyText3Char1">
    <w:name w:val="Body Text 3 Char1"/>
    <w:qFormat/>
    <w:rPr>
      <w:rFonts w:eastAsia="Calibri"/>
      <w:sz w:val="16"/>
      <w:szCs w:val="16"/>
      <w:lang w:val="ru-RU" w:bidi="ar-SA"/>
    </w:rPr>
  </w:style>
  <w:style w:type="character" w:styleId="TitleChar">
    <w:name w:val="Title Char"/>
    <w:qFormat/>
    <w:rPr>
      <w:rFonts w:ascii="Arial" w:hAnsi="Arial" w:eastAsia="Calibri" w:cs="Arial"/>
      <w:b/>
      <w:bCs/>
      <w:sz w:val="24"/>
      <w:szCs w:val="24"/>
      <w:lang w:val="ru-RU" w:bidi="ar-SA"/>
    </w:rPr>
  </w:style>
  <w:style w:type="character" w:styleId="BodyTextIndent3Char">
    <w:name w:val="Body Text Indent 3 Char"/>
    <w:qFormat/>
    <w:rPr>
      <w:rFonts w:eastAsia="Calibri"/>
      <w:sz w:val="16"/>
      <w:szCs w:val="16"/>
      <w:lang w:val="ru-RU" w:bidi="ar-SA"/>
    </w:rPr>
  </w:style>
  <w:style w:type="character" w:styleId="PlainTextChar">
    <w:name w:val="Plain Text Char"/>
    <w:qFormat/>
    <w:rPr>
      <w:rFonts w:ascii="Courier New" w:hAnsi="Courier New" w:eastAsia="Calibri" w:cs="Courier New"/>
      <w:lang w:val="ru-RU" w:bidi="ar-SA"/>
    </w:rPr>
  </w:style>
  <w:style w:type="character" w:styleId="213">
    <w:name w:val="Красная строка 2 Знак"/>
    <w:basedOn w:val="Style15"/>
    <w:qFormat/>
    <w:rPr/>
  </w:style>
  <w:style w:type="character" w:styleId="Applestylespan">
    <w:name w:val="apple-style-span"/>
    <w:qFormat/>
    <w:rPr/>
  </w:style>
  <w:style w:type="character" w:styleId="Style30">
    <w:name w:val="Знак примечания"/>
    <w:qFormat/>
    <w:rPr>
      <w:sz w:val="16"/>
      <w:szCs w:val="16"/>
    </w:rPr>
  </w:style>
  <w:style w:type="character" w:styleId="Style31">
    <w:name w:val="Текст концевой сноски Знак"/>
    <w:qFormat/>
    <w:rPr>
      <w:rFonts w:ascii="Calibri" w:hAnsi="Calibri" w:eastAsia="Calibri" w:cs="Calibri"/>
      <w:sz w:val="24"/>
      <w:szCs w:val="24"/>
    </w:rPr>
  </w:style>
  <w:style w:type="character" w:styleId="Style32">
    <w:name w:val="Символ концевой сноски"/>
    <w:qFormat/>
    <w:rPr>
      <w:vertAlign w:val="superscript"/>
    </w:rPr>
  </w:style>
  <w:style w:type="character" w:styleId="Style33">
    <w:name w:val="Схема документа Знак"/>
    <w:qFormat/>
    <w:rPr>
      <w:rFonts w:ascii="Tahoma" w:hAnsi="Tahoma" w:cs="Tahoma"/>
      <w:highlight w:val="darkBlue"/>
    </w:rPr>
  </w:style>
  <w:style w:type="character" w:styleId="Appleconvertedspace">
    <w:name w:val="apple-converted-space"/>
    <w:qFormat/>
    <w:rPr/>
  </w:style>
  <w:style w:type="character" w:styleId="421">
    <w:name w:val="Знак Знак42"/>
    <w:qFormat/>
    <w:rPr>
      <w:rFonts w:ascii="Arial" w:hAnsi="Arial" w:cs="Arial"/>
      <w:sz w:val="24"/>
      <w:szCs w:val="24"/>
      <w:lang w:val="ru-RU" w:bidi="ar-SA"/>
    </w:rPr>
  </w:style>
  <w:style w:type="character" w:styleId="172">
    <w:name w:val="Знак Знак172"/>
    <w:qFormat/>
    <w:rPr>
      <w:rFonts w:cs="Times New Roman"/>
      <w:i/>
      <w:iCs/>
      <w:sz w:val="22"/>
      <w:szCs w:val="22"/>
      <w:lang w:val="ru-RU"/>
    </w:rPr>
  </w:style>
  <w:style w:type="character" w:styleId="162">
    <w:name w:val="Знак Знак162"/>
    <w:qFormat/>
    <w:rPr>
      <w:rFonts w:ascii="Arial" w:hAnsi="Arial" w:cs="Arial"/>
      <w:lang w:val="ru-RU"/>
    </w:rPr>
  </w:style>
  <w:style w:type="character" w:styleId="123">
    <w:name w:val="Знак Знак123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2">
    <w:name w:val="Знак Знак192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2">
    <w:name w:val="Знак Знак182"/>
    <w:qFormat/>
    <w:rPr>
      <w:sz w:val="28"/>
      <w:szCs w:val="24"/>
      <w:lang w:val="ru-RU" w:bidi="ar-SA"/>
    </w:rPr>
  </w:style>
  <w:style w:type="character" w:styleId="2321">
    <w:name w:val="Знак Знак232"/>
    <w:qFormat/>
    <w:rPr>
      <w:rFonts w:ascii="Times New Roman" w:hAnsi="Times New Roman" w:eastAsia="Times New Roman" w:cs="Times New Roman"/>
      <w:sz w:val="24"/>
    </w:rPr>
  </w:style>
  <w:style w:type="character" w:styleId="223">
    <w:name w:val="Знак Знак223"/>
    <w:qFormat/>
    <w:rPr>
      <w:rFonts w:ascii="Times New Roman" w:hAnsi="Times New Roman" w:eastAsia="Times New Roman" w:cs="Times New Roman"/>
      <w:sz w:val="28"/>
    </w:rPr>
  </w:style>
  <w:style w:type="character" w:styleId="2131">
    <w:name w:val="Знак Знак213"/>
    <w:qFormat/>
    <w:rPr>
      <w:rFonts w:ascii="Arial" w:hAnsi="Arial" w:eastAsia="Times New Roman" w:cs="Arial"/>
      <w:b/>
      <w:bCs/>
      <w:sz w:val="26"/>
      <w:szCs w:val="26"/>
    </w:rPr>
  </w:style>
  <w:style w:type="character" w:styleId="203">
    <w:name w:val="Знак Знак203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411">
    <w:name w:val="Знак Знак41"/>
    <w:qFormat/>
    <w:rPr>
      <w:rFonts w:ascii="Arial" w:hAnsi="Arial" w:cs="Arial"/>
      <w:sz w:val="24"/>
      <w:szCs w:val="24"/>
      <w:lang w:val="ru-RU" w:bidi="ar-SA"/>
    </w:rPr>
  </w:style>
  <w:style w:type="character" w:styleId="171">
    <w:name w:val="Знак Знак171"/>
    <w:qFormat/>
    <w:rPr>
      <w:rFonts w:cs="Times New Roman"/>
      <w:i/>
      <w:iCs/>
      <w:sz w:val="22"/>
      <w:szCs w:val="22"/>
      <w:lang w:val="ru-RU"/>
    </w:rPr>
  </w:style>
  <w:style w:type="character" w:styleId="161">
    <w:name w:val="Знак Знак161"/>
    <w:qFormat/>
    <w:rPr>
      <w:rFonts w:ascii="Arial" w:hAnsi="Arial" w:cs="Arial"/>
      <w:lang w:val="ru-RU"/>
    </w:rPr>
  </w:style>
  <w:style w:type="character" w:styleId="122">
    <w:name w:val="Знак Знак122"/>
    <w:qFormat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191">
    <w:name w:val="Знак Знак191"/>
    <w:qFormat/>
    <w:rPr>
      <w:rFonts w:ascii="Arial" w:hAnsi="Arial" w:cs="Arial"/>
      <w:b/>
      <w:bCs/>
      <w:sz w:val="28"/>
      <w:szCs w:val="24"/>
      <w:lang w:val="ru-RU" w:bidi="ar-SA"/>
    </w:rPr>
  </w:style>
  <w:style w:type="character" w:styleId="181">
    <w:name w:val="Знак Знак181"/>
    <w:qFormat/>
    <w:rPr>
      <w:sz w:val="28"/>
      <w:szCs w:val="24"/>
      <w:lang w:val="ru-RU" w:bidi="ar-SA"/>
    </w:rPr>
  </w:style>
  <w:style w:type="character" w:styleId="2311">
    <w:name w:val="Знак Знак231"/>
    <w:qFormat/>
    <w:rPr>
      <w:rFonts w:ascii="Times New Roman" w:hAnsi="Times New Roman" w:eastAsia="Times New Roman" w:cs="Times New Roman"/>
      <w:sz w:val="24"/>
    </w:rPr>
  </w:style>
  <w:style w:type="character" w:styleId="2221">
    <w:name w:val="Знак Знак222"/>
    <w:qFormat/>
    <w:rPr>
      <w:rFonts w:ascii="Times New Roman" w:hAnsi="Times New Roman" w:eastAsia="Times New Roman" w:cs="Times New Roman"/>
      <w:sz w:val="28"/>
    </w:rPr>
  </w:style>
  <w:style w:type="character" w:styleId="2121">
    <w:name w:val="Знак Знак212"/>
    <w:qFormat/>
    <w:rPr>
      <w:rFonts w:ascii="Arial" w:hAnsi="Arial" w:eastAsia="Times New Roman" w:cs="Arial"/>
      <w:b/>
      <w:bCs/>
      <w:sz w:val="26"/>
      <w:szCs w:val="26"/>
    </w:rPr>
  </w:style>
  <w:style w:type="character" w:styleId="202">
    <w:name w:val="Знак Знак202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34">
    <w:name w:val="Без интервала Знак"/>
    <w:qFormat/>
    <w:rPr>
      <w:rFonts w:eastAsia="Calibri"/>
      <w:sz w:val="24"/>
      <w:szCs w:val="22"/>
    </w:rPr>
  </w:style>
  <w:style w:type="character" w:styleId="115">
    <w:name w:val="Рег. Основной текст уровнеь 1.1 (базовый) Знак"/>
    <w:qFormat/>
    <w:rPr>
      <w:rFonts w:eastAsia="Calibri"/>
      <w:sz w:val="28"/>
      <w:szCs w:val="28"/>
    </w:rPr>
  </w:style>
  <w:style w:type="character" w:styleId="Style35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paragraph" w:styleId="Style36">
    <w:name w:val="Заголовок"/>
    <w:basedOn w:val="Normal"/>
    <w:next w:val="Style3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7">
    <w:name w:val="Body Text"/>
    <w:basedOn w:val="Normal"/>
    <w:pPr>
      <w:spacing w:lineRule="auto" w:line="276" w:before="0" w:after="140"/>
    </w:pPr>
    <w:rPr/>
  </w:style>
  <w:style w:type="paragraph" w:styleId="Style38">
    <w:name w:val="List"/>
    <w:basedOn w:val="Style37"/>
    <w:pPr/>
    <w:rPr>
      <w:rFonts w:cs="Lucida Sans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40">
    <w:name w:val="Указатель"/>
    <w:basedOn w:val="Normal"/>
    <w:qFormat/>
    <w:pPr>
      <w:suppressLineNumbers/>
    </w:pPr>
    <w:rPr>
      <w:rFonts w:cs="Lucida Sans"/>
    </w:rPr>
  </w:style>
  <w:style w:type="paragraph" w:styleId="214" w:customStyle="1">
    <w:name w:val="Основной текст (2)"/>
    <w:basedOn w:val="Normal"/>
    <w:link w:val="2"/>
    <w:qFormat/>
    <w:rsid w:val="00700642"/>
    <w:pPr>
      <w:widowControl w:val="false"/>
      <w:shd w:val="clear" w:color="auto" w:fill="FFFFFF"/>
      <w:spacing w:lineRule="auto" w:before="0" w:after="60"/>
      <w:jc w:val="center"/>
    </w:pPr>
    <w:rPr>
      <w:rFonts w:ascii="Times New Roman" w:hAnsi="Times New Roman" w:eastAsia="Times New Roman" w:cs="Times New Roman"/>
    </w:rPr>
  </w:style>
  <w:style w:type="paragraph" w:styleId="38" w:customStyle="1">
    <w:name w:val="Основной текст (3)"/>
    <w:basedOn w:val="Normal"/>
    <w:link w:val="3"/>
    <w:qFormat/>
    <w:rsid w:val="00700642"/>
    <w:pPr>
      <w:widowControl w:val="false"/>
      <w:shd w:val="clear" w:color="auto" w:fill="FFFFFF"/>
      <w:spacing w:lineRule="auto" w:before="600" w:after="60"/>
      <w:ind w:hanging="1200"/>
      <w:jc w:val="both"/>
    </w:pPr>
    <w:rPr>
      <w:rFonts w:ascii="Times New Roman" w:hAnsi="Times New Roman" w:eastAsia="Times New Roman" w:cs="Times New Roman"/>
      <w:b/>
      <w:bCs/>
    </w:rPr>
  </w:style>
  <w:style w:type="paragraph" w:styleId="Style41" w:customStyle="1">
    <w:name w:val="Подпись к таблице"/>
    <w:basedOn w:val="Normal"/>
    <w:link w:val="a4"/>
    <w:qFormat/>
    <w:rsid w:val="00700642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</w:rPr>
  </w:style>
  <w:style w:type="paragraph" w:styleId="Style42">
    <w:name w:val="Содержимое врезки"/>
    <w:basedOn w:val="Normal"/>
    <w:qFormat/>
    <w:pPr/>
    <w:rPr/>
  </w:style>
  <w:style w:type="paragraph" w:styleId="215">
    <w:name w:val="Основной текст 2"/>
    <w:basedOn w:val="Normal"/>
    <w:qFormat/>
    <w:pPr>
      <w:jc w:val="both"/>
    </w:pPr>
    <w:rPr/>
  </w:style>
  <w:style w:type="paragraph" w:styleId="Style43">
    <w:name w:val="Заголовок бланка"/>
    <w:next w:val="Style46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center"/>
    </w:pPr>
    <w:rPr>
      <w:rFonts w:ascii="Times New Roman" w:hAnsi="Times New Roman" w:eastAsia="Times New Roman" w:cs="Times New Roman"/>
      <w:b/>
      <w:color w:val="auto"/>
      <w:w w:val="120"/>
      <w:kern w:val="2"/>
      <w:sz w:val="40"/>
      <w:szCs w:val="20"/>
      <w:lang w:val="ru-RU" w:eastAsia="ru-RU" w:bidi="ar-SA"/>
    </w:rPr>
  </w:style>
  <w:style w:type="paragraph" w:styleId="Style44">
    <w:name w:val="Envelope Address"/>
    <w:next w:val="Style37"/>
    <w:pPr>
      <w:widowControl/>
      <w:suppressAutoHyphens w:val="true"/>
      <w:kinsoku w:val="true"/>
      <w:overflowPunct w:val="true"/>
      <w:autoSpaceDE w:val="true"/>
      <w:bidi w:val="0"/>
      <w:spacing w:before="240" w:after="380" w:lineRule="auto" w:line="259"/>
      <w:jc w:val="center"/>
    </w:pPr>
    <w:rPr>
      <w:rFonts w:ascii="Times New Roman" w:hAnsi="Times New Roman" w:eastAsia="Times New Roman" w:cs="Times New Roman"/>
      <w:b/>
      <w:color w:val="auto"/>
      <w:w w:val="115"/>
      <w:kern w:val="2"/>
      <w:sz w:val="16"/>
      <w:szCs w:val="20"/>
      <w:lang w:val="ru-RU" w:eastAsia="ru-RU" w:bidi="ar-SA"/>
    </w:rPr>
  </w:style>
  <w:style w:type="paragraph" w:styleId="Style45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Style46">
    <w:name w:val="Подзаголовок бданка"/>
    <w:next w:val="Style44"/>
    <w:qFormat/>
    <w:pPr>
      <w:widowControl/>
      <w:suppressAutoHyphens w:val="true"/>
      <w:kinsoku w:val="true"/>
      <w:overflowPunct w:val="true"/>
      <w:autoSpaceDE w:val="true"/>
      <w:bidi w:val="0"/>
      <w:spacing w:before="120" w:after="0" w:lineRule="auto" w:line="259"/>
      <w:jc w:val="center"/>
    </w:pPr>
    <w:rPr>
      <w:rFonts w:ascii="Times New Roman" w:hAnsi="Times New Roman" w:eastAsia="Times New Roman" w:cs="Times New Roman"/>
      <w:b/>
      <w:color w:val="auto"/>
      <w:spacing w:val="10"/>
      <w:w w:val="115"/>
      <w:kern w:val="2"/>
      <w:sz w:val="22"/>
      <w:szCs w:val="20"/>
      <w:lang w:val="ru-RU" w:eastAsia="ru-RU" w:bidi="ar-SA"/>
    </w:rPr>
  </w:style>
  <w:style w:type="paragraph" w:styleId="Style47">
    <w:name w:val="Номер и дата"/>
    <w:next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ind w:left="964" w:right="0" w:hanging="0"/>
      <w:jc w:val="left"/>
    </w:pPr>
    <w:rPr>
      <w:rFonts w:ascii="Times New Roman" w:hAnsi="Times New Roman" w:eastAsia="Times New Roman" w:cs="Times New Roman"/>
      <w:b/>
      <w:color w:val="auto"/>
      <w:kern w:val="2"/>
      <w:sz w:val="18"/>
      <w:szCs w:val="20"/>
      <w:lang w:val="ru-RU" w:eastAsia="ru-RU" w:bidi="ar-SA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Arial" w:hAnsi="Arial" w:eastAsia="Calibri" w:cs="Arial" w:eastAsiaTheme="minorHAnsi"/>
      <w:color w:val="auto"/>
      <w:kern w:val="2"/>
      <w:sz w:val="22"/>
      <w:szCs w:val="22"/>
      <w:lang w:val="ru-RU" w:eastAsia="zh-CN" w:bidi="ar-SA"/>
    </w:rPr>
  </w:style>
  <w:style w:type="paragraph" w:styleId="Style48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Style4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ascii="Calibri" w:hAnsi="Calibri" w:eastAsia="Calibri" w:cs="Calibri"/>
      <w:sz w:val="22"/>
      <w:szCs w:val="22"/>
    </w:rPr>
  </w:style>
  <w:style w:type="paragraph" w:styleId="311">
    <w:name w:val="Светлая сетка - Акцент 3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50">
    <w:name w:val="Текст выноски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Style51">
    <w:name w:val="МУ Обычный стиль"/>
    <w:basedOn w:val="Normal"/>
    <w:qFormat/>
    <w:pPr>
      <w:widowControl w:val="false"/>
      <w:numPr>
        <w:ilvl w:val="0"/>
        <w:numId w:val="10"/>
      </w:numPr>
      <w:tabs>
        <w:tab w:val="clear" w:pos="709"/>
        <w:tab w:val="left" w:pos="1134" w:leader="none"/>
        <w:tab w:val="left" w:pos="1560" w:leader="none"/>
      </w:tabs>
      <w:autoSpaceDE w:val="false"/>
      <w:spacing w:lineRule="auto" w:line="276"/>
      <w:jc w:val="both"/>
    </w:pPr>
    <w:rPr>
      <w:rFonts w:eastAsia="Calibri"/>
      <w:sz w:val="28"/>
      <w:szCs w:val="28"/>
    </w:rPr>
  </w:style>
  <w:style w:type="paragraph" w:styleId="ConsPlusNonformat">
    <w:name w:val="ConsPlu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52">
    <w:name w:val="Footnote Text"/>
    <w:basedOn w:val="Normal"/>
    <w:pPr>
      <w:suppressAutoHyphens w:val="true"/>
    </w:pPr>
    <w:rPr>
      <w:sz w:val="20"/>
    </w:rPr>
  </w:style>
  <w:style w:type="paragraph" w:styleId="Style53">
    <w:name w:val="Body Text Indent"/>
    <w:basedOn w:val="Normal"/>
    <w:pPr>
      <w:spacing w:before="0" w:after="120"/>
      <w:ind w:left="283" w:right="0" w:hanging="0"/>
    </w:pPr>
    <w:rPr>
      <w:sz w:val="28"/>
      <w:szCs w:val="24"/>
    </w:rPr>
  </w:style>
  <w:style w:type="paragraph" w:styleId="Style54">
    <w:name w:val="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HTML2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90"/>
      <w:sz w:val="20"/>
    </w:rPr>
  </w:style>
  <w:style w:type="paragraph" w:styleId="Style55">
    <w:name w:val="Готовый"/>
    <w:basedOn w:val="Normal"/>
    <w:qFormat/>
    <w:pPr>
      <w:widowControl w:val="false"/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Style56">
    <w:name w:val="Signature"/>
    <w:basedOn w:val="Normal"/>
    <w:pPr>
      <w:ind w:left="4252" w:right="0" w:hanging="0"/>
    </w:pPr>
    <w:rPr>
      <w:b/>
      <w:sz w:val="28"/>
      <w:szCs w:val="28"/>
    </w:rPr>
  </w:style>
  <w:style w:type="paragraph" w:styleId="Style57">
    <w:name w:val="Красная строка"/>
    <w:basedOn w:val="Style37"/>
    <w:qFormat/>
    <w:pPr>
      <w:spacing w:before="0" w:after="120"/>
      <w:ind w:left="0" w:right="0" w:firstLine="210"/>
      <w:jc w:val="left"/>
    </w:pPr>
    <w:rPr>
      <w:b w:val="false"/>
      <w:spacing w:val="0"/>
      <w:sz w:val="24"/>
      <w:szCs w:val="24"/>
    </w:rPr>
  </w:style>
  <w:style w:type="paragraph" w:styleId="39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58">
    <w:name w:val="Обычный (веб)"/>
    <w:basedOn w:val="Normal"/>
    <w:qFormat/>
    <w:pPr/>
    <w:rPr>
      <w:szCs w:val="24"/>
    </w:rPr>
  </w:style>
  <w:style w:type="paragraph" w:styleId="116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310">
    <w:name w:val="Style3"/>
    <w:basedOn w:val="Normal"/>
    <w:qFormat/>
    <w:pPr>
      <w:widowControl w:val="false"/>
      <w:autoSpaceDE w:val="false"/>
      <w:spacing w:lineRule="exact" w:line="317"/>
    </w:pPr>
    <w:rPr>
      <w:szCs w:val="24"/>
    </w:rPr>
  </w:style>
  <w:style w:type="paragraph" w:styleId="Style59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Cs w:val="24"/>
      <w:lang w:val="en-US"/>
    </w:rPr>
  </w:style>
  <w:style w:type="paragraph" w:styleId="Style60">
    <w:name w:val="Текст примечания"/>
    <w:basedOn w:val="Normal"/>
    <w:qFormat/>
    <w:pPr>
      <w:spacing w:before="0" w:after="200"/>
    </w:pPr>
    <w:rPr>
      <w:rFonts w:ascii="Calibri" w:hAnsi="Calibri" w:eastAsia="Calibri" w:cs="Calibri"/>
      <w:sz w:val="20"/>
    </w:rPr>
  </w:style>
  <w:style w:type="paragraph" w:styleId="Style61">
    <w:name w:val="Тема примечания"/>
    <w:basedOn w:val="Style60"/>
    <w:next w:val="Style60"/>
    <w:qFormat/>
    <w:pPr/>
    <w:rPr>
      <w:b/>
      <w:bCs/>
    </w:rPr>
  </w:style>
  <w:style w:type="paragraph" w:styleId="117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51">
    <w:name w:val="Стиль Без интервала + 125 пт Черный По ширине Первая строка:  1..."/>
    <w:basedOn w:val="117"/>
    <w:qFormat/>
    <w:pPr>
      <w:widowControl w:val="false"/>
      <w:autoSpaceDE w:val="false"/>
      <w:ind w:left="0" w:right="0"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styleId="ConsPlusDocList">
    <w:name w:val="ConsPlusDocLis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2">
    <w:name w:val="Название объекта"/>
    <w:basedOn w:val="Normal"/>
    <w:next w:val="Normal"/>
    <w:qFormat/>
    <w:pPr>
      <w:overflowPunct w:val="false"/>
      <w:autoSpaceDE w:val="false"/>
      <w:spacing w:lineRule="auto" w:line="216"/>
      <w:jc w:val="center"/>
      <w:textAlignment w:val="baseline"/>
    </w:pPr>
    <w:rPr>
      <w:rFonts w:eastAsia="Calibri"/>
      <w:b/>
      <w:sz w:val="22"/>
    </w:rPr>
  </w:style>
  <w:style w:type="paragraph" w:styleId="216">
    <w:name w:val="Основной текст 21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rFonts w:eastAsia="Calibri"/>
      <w:sz w:val="20"/>
    </w:rPr>
  </w:style>
  <w:style w:type="paragraph" w:styleId="310">
    <w:name w:val="Основной текст с отступом 3"/>
    <w:basedOn w:val="Normal"/>
    <w:qFormat/>
    <w:pPr>
      <w:spacing w:before="0" w:after="120"/>
      <w:ind w:left="283" w:right="0" w:hanging="0"/>
      <w:jc w:val="center"/>
    </w:pPr>
    <w:rPr>
      <w:rFonts w:eastAsia="Calibri"/>
      <w:sz w:val="16"/>
      <w:szCs w:val="16"/>
    </w:rPr>
  </w:style>
  <w:style w:type="paragraph" w:styleId="Style63">
    <w:name w:val="Текст"/>
    <w:basedOn w:val="Normal"/>
    <w:qFormat/>
    <w:pPr>
      <w:jc w:val="center"/>
    </w:pPr>
    <w:rPr>
      <w:rFonts w:ascii="Courier New" w:hAnsi="Courier New" w:eastAsia="Calibri" w:cs="Courier New"/>
      <w:sz w:val="20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firstLine="72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Arial" w:hAnsi="Arial" w:eastAsia="Calibri" w:cs="Arial" w:eastAsiaTheme="minorHAnsi"/>
      <w:b/>
      <w:bCs/>
      <w:color w:val="auto"/>
      <w:kern w:val="2"/>
      <w:sz w:val="20"/>
      <w:szCs w:val="20"/>
      <w:lang w:val="ru-RU" w:eastAsia="zh-CN" w:bidi="ar-SA"/>
    </w:rPr>
  </w:style>
  <w:style w:type="paragraph" w:styleId="Preformat">
    <w:name w:val="Preforma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Style64">
    <w:name w:val="Нумерованный Список"/>
    <w:basedOn w:val="Normal"/>
    <w:qFormat/>
    <w:pPr>
      <w:spacing w:before="120" w:after="120"/>
      <w:jc w:val="both"/>
    </w:pPr>
    <w:rPr>
      <w:rFonts w:eastAsia="Calibri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Courier New" w:hAnsi="Courier New" w:eastAsia="Calibri" w:cs="Courier New" w:eastAsiaTheme="minorHAnsi"/>
      <w:color w:val="auto"/>
      <w:kern w:val="2"/>
      <w:sz w:val="20"/>
      <w:szCs w:val="20"/>
      <w:lang w:val="ru-RU" w:eastAsia="zh-CN" w:bidi="ar-SA"/>
    </w:rPr>
  </w:style>
  <w:style w:type="paragraph" w:styleId="ConsCell">
    <w:name w:val="ConsCell"/>
    <w:qFormat/>
    <w:pPr>
      <w:widowControl w:val="false"/>
      <w:suppressAutoHyphens w:val="true"/>
      <w:kinsoku w:val="true"/>
      <w:overflowPunct w:val="true"/>
      <w:autoSpaceDE w:val="false"/>
      <w:bidi w:val="0"/>
      <w:spacing w:lineRule="auto" w:line="259" w:before="0" w:after="160"/>
      <w:ind w:left="0" w:right="19772" w:hanging="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118">
    <w:name w:val="Обычный1"/>
    <w:qFormat/>
    <w:pPr>
      <w:widowControl w:val="false"/>
      <w:suppressAutoHyphens w:val="true"/>
      <w:kinsoku w:val="true"/>
      <w:overflowPunct w:val="true"/>
      <w:autoSpaceDE w:val="true"/>
      <w:bidi w:val="0"/>
      <w:snapToGrid w:val="false"/>
      <w:spacing w:lineRule="auto" w:line="300" w:before="0" w:after="160"/>
      <w:ind w:left="0" w:right="0" w:firstLine="820"/>
      <w:jc w:val="both"/>
    </w:pPr>
    <w:rPr>
      <w:rFonts w:ascii="Times New Roman" w:hAnsi="Times New Roman" w:eastAsia="Calibri" w:cs="Times New Roman" w:eastAsiaTheme="minorHAnsi"/>
      <w:color w:val="auto"/>
      <w:kern w:val="2"/>
      <w:sz w:val="22"/>
      <w:szCs w:val="22"/>
      <w:lang w:val="ru-RU" w:eastAsia="zh-CN" w:bidi="ar-SA"/>
    </w:rPr>
  </w:style>
  <w:style w:type="paragraph" w:styleId="Text">
    <w:name w:val="text"/>
    <w:basedOn w:val="Normal"/>
    <w:qFormat/>
    <w:pPr>
      <w:jc w:val="center"/>
    </w:pPr>
    <w:rPr>
      <w:rFonts w:ascii="Verdana" w:hAnsi="Verdana" w:eastAsia="Calibri" w:cs="Verdana"/>
      <w:color w:val="000000"/>
      <w:sz w:val="16"/>
      <w:szCs w:val="16"/>
    </w:rPr>
  </w:style>
  <w:style w:type="paragraph" w:styleId="Style65">
    <w:name w:val="Адресат"/>
    <w:basedOn w:val="Normal"/>
    <w:qFormat/>
    <w:pPr>
      <w:suppressAutoHyphens w:val="true"/>
      <w:spacing w:lineRule="exact" w:line="240" w:before="0" w:after="120"/>
      <w:jc w:val="center"/>
    </w:pPr>
    <w:rPr>
      <w:rFonts w:eastAsia="Calibri"/>
      <w:b/>
      <w:bCs/>
      <w:sz w:val="28"/>
      <w:szCs w:val="28"/>
    </w:rPr>
  </w:style>
  <w:style w:type="paragraph" w:styleId="Style66">
    <w:name w:val="Приложение"/>
    <w:basedOn w:val="Style37"/>
    <w:qFormat/>
    <w:pPr>
      <w:tabs>
        <w:tab w:val="clear" w:pos="709"/>
        <w:tab w:val="left" w:pos="1673" w:leader="none"/>
      </w:tabs>
      <w:spacing w:lineRule="exact" w:line="240" w:before="240" w:after="0"/>
      <w:ind w:left="1985" w:right="0" w:hanging="1985"/>
      <w:jc w:val="both"/>
    </w:pPr>
    <w:rPr>
      <w:rFonts w:eastAsia="Calibri"/>
      <w:bCs/>
      <w:spacing w:val="0"/>
      <w:szCs w:val="28"/>
    </w:rPr>
  </w:style>
  <w:style w:type="paragraph" w:styleId="Style67">
    <w:name w:val="Заголовок к тексту"/>
    <w:basedOn w:val="Normal"/>
    <w:next w:val="Style37"/>
    <w:qFormat/>
    <w:pPr>
      <w:suppressAutoHyphens w:val="true"/>
      <w:spacing w:lineRule="exact" w:line="240" w:before="0" w:after="480"/>
      <w:jc w:val="center"/>
    </w:pPr>
    <w:rPr>
      <w:rFonts w:eastAsia="Calibri"/>
      <w:sz w:val="28"/>
      <w:szCs w:val="28"/>
    </w:rPr>
  </w:style>
  <w:style w:type="paragraph" w:styleId="Style68">
    <w:name w:val="регистрационные поля"/>
    <w:basedOn w:val="Normal"/>
    <w:qFormat/>
    <w:pPr>
      <w:spacing w:lineRule="exact" w:line="240"/>
      <w:jc w:val="center"/>
    </w:pPr>
    <w:rPr>
      <w:rFonts w:eastAsia="Calibri"/>
      <w:b/>
      <w:bCs/>
      <w:sz w:val="28"/>
      <w:szCs w:val="28"/>
      <w:lang w:val="en-US"/>
    </w:rPr>
  </w:style>
  <w:style w:type="paragraph" w:styleId="Style69">
    <w:name w:val="Исполнитель"/>
    <w:basedOn w:val="Style37"/>
    <w:qFormat/>
    <w:pPr>
      <w:suppressAutoHyphens w:val="true"/>
      <w:spacing w:lineRule="exact" w:line="240" w:before="0" w:after="120"/>
      <w:jc w:val="left"/>
    </w:pPr>
    <w:rPr>
      <w:rFonts w:eastAsia="Calibri"/>
      <w:bCs/>
      <w:spacing w:val="0"/>
      <w:sz w:val="24"/>
      <w:szCs w:val="24"/>
    </w:rPr>
  </w:style>
  <w:style w:type="paragraph" w:styleId="Style70">
    <w:name w:val="Подпись на общем бланке"/>
    <w:basedOn w:val="Style56"/>
    <w:next w:val="Style37"/>
    <w:qFormat/>
    <w:pPr>
      <w:tabs>
        <w:tab w:val="clear" w:pos="709"/>
        <w:tab w:val="right" w:pos="9639" w:leader="none"/>
      </w:tabs>
      <w:suppressAutoHyphens w:val="true"/>
      <w:spacing w:lineRule="exact" w:line="240" w:before="480" w:after="0"/>
      <w:ind w:left="0" w:right="0" w:hanging="0"/>
      <w:jc w:val="center"/>
    </w:pPr>
    <w:rPr>
      <w:rFonts w:eastAsia="Calibri"/>
      <w:b w:val="false"/>
    </w:rPr>
  </w:style>
  <w:style w:type="paragraph" w:styleId="Style7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  <w:sz w:val="20"/>
    </w:rPr>
  </w:style>
  <w:style w:type="paragraph" w:styleId="Style72">
    <w:name w:val="Заголовок статьи"/>
    <w:basedOn w:val="Normal"/>
    <w:next w:val="Normal"/>
    <w:qFormat/>
    <w:pPr>
      <w:autoSpaceDE w:val="false"/>
      <w:ind w:left="1612" w:right="0" w:hanging="892"/>
      <w:jc w:val="both"/>
    </w:pPr>
    <w:rPr>
      <w:rFonts w:ascii="Arial" w:hAnsi="Arial" w:eastAsia="Calibri" w:cs="Arial"/>
      <w:sz w:val="20"/>
    </w:rPr>
  </w:style>
  <w:style w:type="paragraph" w:styleId="Style73">
    <w:name w:val="Комментарий"/>
    <w:basedOn w:val="Normal"/>
    <w:next w:val="Normal"/>
    <w:qFormat/>
    <w:pPr>
      <w:autoSpaceDE w:val="false"/>
      <w:ind w:left="170" w:right="0" w:hanging="0"/>
      <w:jc w:val="both"/>
    </w:pPr>
    <w:rPr>
      <w:rFonts w:ascii="Arial" w:hAnsi="Arial" w:eastAsia="Calibri" w:cs="Arial"/>
      <w:i/>
      <w:iCs/>
      <w:color w:val="800080"/>
      <w:sz w:val="20"/>
    </w:rPr>
  </w:style>
  <w:style w:type="paragraph" w:styleId="101">
    <w:name w:val="Обычный 10"/>
    <w:basedOn w:val="Normal"/>
    <w:qFormat/>
    <w:pPr>
      <w:ind w:left="0" w:right="2" w:firstLine="110"/>
      <w:jc w:val="both"/>
    </w:pPr>
    <w:rPr>
      <w:rFonts w:eastAsia="Calibri"/>
      <w:sz w:val="20"/>
    </w:rPr>
  </w:style>
  <w:style w:type="paragraph" w:styleId="119">
    <w:name w:val="Стиль1"/>
    <w:basedOn w:val="Style57"/>
    <w:qFormat/>
    <w:pPr>
      <w:spacing w:before="0" w:after="60"/>
      <w:ind w:left="0" w:right="0" w:firstLine="709"/>
      <w:jc w:val="both"/>
    </w:pPr>
    <w:rPr>
      <w:rFonts w:eastAsia="Calibri"/>
      <w:sz w:val="28"/>
      <w:szCs w:val="28"/>
    </w:rPr>
  </w:style>
  <w:style w:type="paragraph" w:styleId="120">
    <w:name w:val="Знак1"/>
    <w:basedOn w:val="Normal"/>
    <w:qFormat/>
    <w:pPr>
      <w:spacing w:lineRule="exact" w:line="240" w:before="0" w:after="160"/>
      <w:jc w:val="both"/>
    </w:pPr>
    <w:rPr>
      <w:rFonts w:eastAsia="Calibri"/>
      <w:szCs w:val="24"/>
      <w:lang w:val="en-US"/>
    </w:rPr>
  </w:style>
  <w:style w:type="paragraph" w:styleId="Normal1">
    <w:name w:val="Normal1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center"/>
    </w:pPr>
    <w:rPr>
      <w:rFonts w:ascii="Times New Roman" w:hAnsi="Times New Roman" w:eastAsia="Calibri" w:cs="Times New Roman" w:eastAsiaTheme="minorHAnsi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center"/>
    </w:pPr>
    <w:rPr>
      <w:rFonts w:ascii="Arial" w:hAnsi="Arial" w:eastAsia="Calibri" w:cs="Arial" w:eastAsiaTheme="minorHAnsi"/>
      <w:color w:val="auto"/>
      <w:kern w:val="2"/>
      <w:sz w:val="20"/>
      <w:szCs w:val="20"/>
      <w:lang w:val="ru-RU" w:eastAsia="zh-CN" w:bidi="ar-SA"/>
    </w:rPr>
  </w:style>
  <w:style w:type="paragraph" w:styleId="Style74">
    <w:name w:val="Знак Знак Знак Знак Знак Знак Знак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124">
    <w:name w:val="Знак Знак Знак Знак Знак Знак Знак Знак Знак Знак1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125">
    <w:name w:val="Знак Знак Знак Знак Знак Знак Знак1"/>
    <w:basedOn w:val="Normal"/>
    <w:qFormat/>
    <w:pPr>
      <w:spacing w:before="100" w:after="100"/>
      <w:jc w:val="center"/>
    </w:pPr>
    <w:rPr>
      <w:rFonts w:ascii="Tahoma" w:hAnsi="Tahoma" w:eastAsia="Calibri" w:cs="Tahoma"/>
      <w:sz w:val="20"/>
      <w:lang w:val="en-US"/>
    </w:rPr>
  </w:style>
  <w:style w:type="paragraph" w:styleId="Msonormalcxspmiddle">
    <w:name w:val="msonormalcxspmiddle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Msonormalcxsplast">
    <w:name w:val="msonormalcxsplast"/>
    <w:basedOn w:val="Normal"/>
    <w:qFormat/>
    <w:pPr>
      <w:spacing w:before="100" w:after="100"/>
      <w:jc w:val="center"/>
    </w:pPr>
    <w:rPr>
      <w:rFonts w:eastAsia="Calibri"/>
      <w:color w:val="000000"/>
      <w:szCs w:val="24"/>
    </w:rPr>
  </w:style>
  <w:style w:type="paragraph" w:styleId="Style75">
    <w:name w:val="......."/>
    <w:basedOn w:val="Normal"/>
    <w:next w:val="Normal"/>
    <w:qFormat/>
    <w:pPr>
      <w:autoSpaceDE w:val="false"/>
      <w:jc w:val="center"/>
    </w:pPr>
    <w:rPr>
      <w:rFonts w:eastAsia="Calibri"/>
      <w:szCs w:val="24"/>
    </w:rPr>
  </w:style>
  <w:style w:type="paragraph" w:styleId="2112">
    <w:name w:val="Средняя сетка 2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b/>
      <w:color w:val="auto"/>
      <w:kern w:val="2"/>
      <w:sz w:val="28"/>
      <w:szCs w:val="28"/>
      <w:lang w:val="ru-RU" w:eastAsia="zh-CN" w:bidi="ar-SA"/>
    </w:rPr>
  </w:style>
  <w:style w:type="paragraph" w:styleId="217">
    <w:name w:val="Обычный2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218">
    <w:name w:val="Красная строка 2"/>
    <w:basedOn w:val="Style53"/>
    <w:qFormat/>
    <w:pPr>
      <w:widowControl w:val="false"/>
      <w:autoSpaceDE w:val="false"/>
      <w:ind w:left="283" w:right="0" w:firstLine="210"/>
    </w:pPr>
    <w:rPr>
      <w:sz w:val="20"/>
      <w:szCs w:val="20"/>
    </w:rPr>
  </w:style>
  <w:style w:type="paragraph" w:styleId="224">
    <w:name w:val="Основной текст 22"/>
    <w:basedOn w:val="Normal"/>
    <w:qFormat/>
    <w:pPr>
      <w:overflowPunct w:val="false"/>
      <w:autoSpaceDE w:val="false"/>
      <w:spacing w:lineRule="auto" w:line="216"/>
      <w:ind w:left="0" w:right="0" w:firstLine="709"/>
      <w:jc w:val="both"/>
      <w:textAlignment w:val="baseline"/>
    </w:pPr>
    <w:rPr>
      <w:sz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lang w:val="en-US"/>
    </w:rPr>
  </w:style>
  <w:style w:type="paragraph" w:styleId="Nonformat">
    <w:name w:val="Nonformat"/>
    <w:basedOn w:val="Normal"/>
    <w:qFormat/>
    <w:pPr>
      <w:widowControl w:val="false"/>
      <w:autoSpaceDE w:val="false"/>
    </w:pPr>
    <w:rPr>
      <w:rFonts w:ascii="Consultant" w:hAnsi="Consultant" w:cs="Consultant"/>
      <w:sz w:val="20"/>
    </w:rPr>
  </w:style>
  <w:style w:type="paragraph" w:styleId="126">
    <w:name w:val="Заголовок оглавления1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219">
    <w:name w:val="TOC 2"/>
    <w:basedOn w:val="Normal"/>
    <w:next w:val="Normal"/>
    <w:pPr>
      <w:tabs>
        <w:tab w:val="clear" w:pos="709"/>
        <w:tab w:val="left" w:pos="880" w:leader="none"/>
        <w:tab w:val="right" w:pos="9061" w:leader="dot"/>
      </w:tabs>
      <w:spacing w:lineRule="auto" w:line="276"/>
      <w:ind w:left="220" w:right="0" w:hanging="0"/>
    </w:pPr>
    <w:rPr>
      <w:rFonts w:eastAsia="Calibri"/>
      <w:b/>
      <w:sz w:val="20"/>
      <w:lang w:val="ru-RU" w:eastAsia="ru-RU"/>
    </w:rPr>
  </w:style>
  <w:style w:type="paragraph" w:styleId="127">
    <w:name w:val="TOC 1"/>
    <w:basedOn w:val="Normal"/>
    <w:next w:val="Normal"/>
    <w:pPr>
      <w:tabs>
        <w:tab w:val="clear" w:pos="709"/>
        <w:tab w:val="right" w:pos="9071" w:leader="dot"/>
      </w:tabs>
      <w:spacing w:lineRule="auto" w:line="276" w:before="120" w:after="120"/>
      <w:jc w:val="both"/>
    </w:pPr>
    <w:rPr>
      <w:rFonts w:eastAsia="Calibri"/>
      <w:b/>
      <w:bCs/>
      <w:caps/>
      <w:sz w:val="20"/>
      <w:lang w:val="en-US" w:eastAsia="ru-RU"/>
    </w:rPr>
  </w:style>
  <w:style w:type="paragraph" w:styleId="312">
    <w:name w:val="TOC 3"/>
    <w:basedOn w:val="Normal"/>
    <w:next w:val="Normal"/>
    <w:pPr>
      <w:spacing w:lineRule="auto" w:line="276"/>
      <w:ind w:left="440" w:right="0" w:hanging="0"/>
    </w:pPr>
    <w:rPr>
      <w:rFonts w:eastAsia="Calibri"/>
      <w:i/>
      <w:iCs/>
      <w:sz w:val="20"/>
    </w:rPr>
  </w:style>
  <w:style w:type="paragraph" w:styleId="43">
    <w:name w:val="TOC 4"/>
    <w:basedOn w:val="Normal"/>
    <w:next w:val="Normal"/>
    <w:pPr>
      <w:spacing w:lineRule="auto" w:line="276"/>
      <w:ind w:left="660" w:right="0" w:hanging="0"/>
    </w:pPr>
    <w:rPr>
      <w:rFonts w:eastAsia="Calibri"/>
      <w:sz w:val="18"/>
      <w:szCs w:val="18"/>
    </w:rPr>
  </w:style>
  <w:style w:type="paragraph" w:styleId="53">
    <w:name w:val="TOC 5"/>
    <w:basedOn w:val="Normal"/>
    <w:next w:val="Normal"/>
    <w:pPr>
      <w:spacing w:lineRule="auto" w:line="276"/>
      <w:ind w:left="880" w:right="0" w:hanging="0"/>
    </w:pPr>
    <w:rPr>
      <w:rFonts w:ascii="Calibri" w:hAnsi="Calibri" w:eastAsia="Calibri" w:cs="Calibri"/>
      <w:sz w:val="18"/>
      <w:szCs w:val="18"/>
    </w:rPr>
  </w:style>
  <w:style w:type="paragraph" w:styleId="62">
    <w:name w:val="TOC 6"/>
    <w:basedOn w:val="Normal"/>
    <w:next w:val="Normal"/>
    <w:pPr>
      <w:spacing w:lineRule="auto" w:line="276"/>
      <w:ind w:left="1100" w:right="0" w:hanging="0"/>
    </w:pPr>
    <w:rPr>
      <w:rFonts w:ascii="Calibri" w:hAnsi="Calibri" w:eastAsia="Calibri" w:cs="Calibri"/>
      <w:sz w:val="18"/>
      <w:szCs w:val="18"/>
    </w:rPr>
  </w:style>
  <w:style w:type="paragraph" w:styleId="72">
    <w:name w:val="TOC 7"/>
    <w:basedOn w:val="Normal"/>
    <w:next w:val="Normal"/>
    <w:pPr>
      <w:spacing w:lineRule="auto" w:line="276"/>
      <w:ind w:left="1320" w:right="0" w:hanging="0"/>
    </w:pPr>
    <w:rPr>
      <w:rFonts w:ascii="Calibri" w:hAnsi="Calibri" w:eastAsia="Calibri" w:cs="Calibri"/>
      <w:sz w:val="18"/>
      <w:szCs w:val="18"/>
    </w:rPr>
  </w:style>
  <w:style w:type="paragraph" w:styleId="82">
    <w:name w:val="TOC 8"/>
    <w:basedOn w:val="Normal"/>
    <w:next w:val="Normal"/>
    <w:pPr>
      <w:spacing w:lineRule="auto" w:line="276"/>
      <w:ind w:left="1540" w:right="0" w:hanging="0"/>
    </w:pPr>
    <w:rPr>
      <w:rFonts w:ascii="Calibri" w:hAnsi="Calibri" w:eastAsia="Calibri" w:cs="Calibri"/>
      <w:sz w:val="18"/>
      <w:szCs w:val="18"/>
    </w:rPr>
  </w:style>
  <w:style w:type="paragraph" w:styleId="93">
    <w:name w:val="TOC 9"/>
    <w:basedOn w:val="Normal"/>
    <w:next w:val="Normal"/>
    <w:pPr>
      <w:spacing w:lineRule="auto" w:line="276"/>
      <w:ind w:left="1760" w:right="0" w:hanging="0"/>
    </w:pPr>
    <w:rPr>
      <w:rFonts w:ascii="Calibri" w:hAnsi="Calibri" w:eastAsia="Calibri" w:cs="Calibri"/>
      <w:sz w:val="18"/>
      <w:szCs w:val="18"/>
    </w:rPr>
  </w:style>
  <w:style w:type="paragraph" w:styleId="Style76">
    <w:name w:val="Endnote Text"/>
    <w:basedOn w:val="Normal"/>
    <w:pPr>
      <w:spacing w:lineRule="auto" w:line="276" w:before="0" w:after="200"/>
    </w:pPr>
    <w:rPr>
      <w:rFonts w:ascii="Calibri" w:hAnsi="Calibri" w:eastAsia="Calibri" w:cs="Calibri"/>
      <w:szCs w:val="24"/>
    </w:rPr>
  </w:style>
  <w:style w:type="paragraph" w:styleId="1111">
    <w:name w:val="Средняя заливка 1 - Акцент 11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12">
    <w:name w:val="Средняя сетка 1 - Акцент 2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20">
    <w:name w:val="Рег. Заголовок 2-го уровня регламента"/>
    <w:basedOn w:val="ConsPlusNormal1"/>
    <w:qFormat/>
    <w:pPr>
      <w:numPr>
        <w:ilvl w:val="0"/>
        <w:numId w:val="11"/>
      </w:numPr>
      <w:tabs>
        <w:tab w:val="clear" w:pos="709"/>
        <w:tab w:val="left" w:pos="360" w:leader="none"/>
      </w:tabs>
      <w:spacing w:before="360" w:after="240"/>
      <w:ind w:left="1353" w:right="0" w:hanging="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styleId="Style77">
    <w:name w:val="Рег. Комментарии"/>
    <w:basedOn w:val="311"/>
    <w:qFormat/>
    <w:pPr>
      <w:spacing w:before="0" w:after="0"/>
      <w:ind w:left="539" w:right="0" w:firstLine="709"/>
      <w:contextualSpacing/>
      <w:jc w:val="both"/>
    </w:pPr>
    <w:rPr>
      <w:rFonts w:ascii="Times New Roman" w:hAnsi="Times New Roman" w:cs="Times New Roman"/>
      <w:i/>
      <w:sz w:val="28"/>
      <w:szCs w:val="28"/>
    </w:rPr>
  </w:style>
  <w:style w:type="paragraph" w:styleId="Style78">
    <w:name w:val="Сценарии"/>
    <w:basedOn w:val="Normal"/>
    <w:qFormat/>
    <w:pPr>
      <w:spacing w:lineRule="auto" w:line="276" w:before="120" w:after="120"/>
      <w:ind w:left="0" w:right="0" w:firstLine="539"/>
      <w:contextualSpacing/>
      <w:jc w:val="center"/>
    </w:pPr>
    <w:rPr>
      <w:rFonts w:eastAsia="Calibri"/>
      <w:i/>
      <w:sz w:val="28"/>
      <w:szCs w:val="28"/>
    </w:rPr>
  </w:style>
  <w:style w:type="paragraph" w:styleId="225">
    <w:name w:val="Заголовок оглавления2"/>
    <w:basedOn w:val="1"/>
    <w:next w:val="Normal"/>
    <w:qFormat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cs="Cambria"/>
      <w:bCs/>
      <w:color w:val="365F91"/>
      <w:spacing w:val="0"/>
      <w:sz w:val="28"/>
      <w:szCs w:val="28"/>
    </w:rPr>
  </w:style>
  <w:style w:type="paragraph" w:styleId="Style79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128">
    <w:name w:val="Рег. Заголовок 1-го уровня регламента"/>
    <w:basedOn w:val="1"/>
    <w:qFormat/>
    <w:pPr>
      <w:numPr>
        <w:ilvl w:val="0"/>
        <w:numId w:val="0"/>
      </w:numPr>
      <w:spacing w:lineRule="auto" w:line="276" w:before="240" w:after="240"/>
      <w:ind w:left="0" w:right="0" w:hanging="0"/>
    </w:pPr>
    <w:rPr>
      <w:bCs/>
      <w:iCs/>
      <w:spacing w:val="0"/>
      <w:sz w:val="28"/>
      <w:szCs w:val="28"/>
    </w:rPr>
  </w:style>
  <w:style w:type="paragraph" w:styleId="1110">
    <w:name w:val="Рег. Основной текст уровень 1.1"/>
    <w:basedOn w:val="ConsPlusNormal1"/>
    <w:qFormat/>
    <w:pPr>
      <w:spacing w:lineRule="auto" w:line="276"/>
      <w:ind w:left="0" w:righ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112">
    <w:name w:val="Рег. 1.1.1"/>
    <w:basedOn w:val="Normal"/>
    <w:qFormat/>
    <w:pPr>
      <w:numPr>
        <w:ilvl w:val="0"/>
        <w:numId w:val="11"/>
      </w:numPr>
      <w:spacing w:lineRule="auto" w:line="276"/>
      <w:ind w:left="1713" w:right="0" w:hanging="0"/>
      <w:jc w:val="both"/>
    </w:pPr>
    <w:rPr>
      <w:rFonts w:eastAsia="Calibri"/>
      <w:sz w:val="28"/>
      <w:szCs w:val="28"/>
    </w:rPr>
  </w:style>
  <w:style w:type="paragraph" w:styleId="1113">
    <w:name w:val="Рег. Основной текст уровнеь 1.1 (базовый)"/>
    <w:basedOn w:val="ConsPlusNormal1"/>
    <w:qFormat/>
    <w:pPr>
      <w:numPr>
        <w:ilvl w:val="0"/>
        <w:numId w:val="11"/>
      </w:numPr>
      <w:spacing w:lineRule="auto" w:line="276"/>
      <w:jc w:val="both"/>
    </w:pPr>
    <w:rPr>
      <w:rFonts w:ascii="Times New Roman" w:hAnsi="Times New Roman" w:cs="Times New Roman"/>
      <w:sz w:val="28"/>
      <w:szCs w:val="28"/>
    </w:rPr>
  </w:style>
  <w:style w:type="paragraph" w:styleId="Style80">
    <w:name w:val="Рег. Обычный с отступом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Style81">
    <w:name w:val="Рег. Списки числовый"/>
    <w:basedOn w:val="1212"/>
    <w:qFormat/>
    <w:pPr>
      <w:numPr>
        <w:ilvl w:val="0"/>
        <w:numId w:val="9"/>
      </w:numPr>
      <w:ind w:left="1068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2">
    <w:name w:val="Рег. Заголовок для названий результата"/>
    <w:basedOn w:val="220"/>
    <w:qFormat/>
    <w:pPr>
      <w:numPr>
        <w:ilvl w:val="0"/>
        <w:numId w:val="0"/>
      </w:numPr>
      <w:ind w:left="714" w:right="0" w:hanging="0"/>
      <w:jc w:val="left"/>
    </w:pPr>
    <w:rPr/>
  </w:style>
  <w:style w:type="paragraph" w:styleId="1114">
    <w:name w:val="Рег. Основной текст уровень 1.1 (сценарии)"/>
    <w:basedOn w:val="1113"/>
    <w:qFormat/>
    <w:pPr>
      <w:spacing w:before="360" w:after="240"/>
    </w:pPr>
    <w:rPr>
      <w:i/>
    </w:rPr>
  </w:style>
  <w:style w:type="paragraph" w:styleId="1115">
    <w:name w:val="Рег. Основной текст уровень 1.1.1"/>
    <w:basedOn w:val="Normal"/>
    <w:next w:val="1112"/>
    <w:qFormat/>
    <w:pPr>
      <w:spacing w:lineRule="auto" w:line="276"/>
      <w:ind w:left="1440" w:right="0" w:hanging="720"/>
      <w:jc w:val="both"/>
    </w:pPr>
    <w:rPr>
      <w:rFonts w:eastAsia="Calibri"/>
      <w:sz w:val="28"/>
      <w:szCs w:val="28"/>
    </w:rPr>
  </w:style>
  <w:style w:type="paragraph" w:styleId="Style83">
    <w:name w:val="Рег. Списки без буллетов"/>
    <w:basedOn w:val="ConsPlusNormal1"/>
    <w:qFormat/>
    <w:pPr>
      <w:spacing w:lineRule="auto" w:line="276"/>
      <w:ind w:left="709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129">
    <w:name w:val="Рег. Списки 1)"/>
    <w:basedOn w:val="Style83"/>
    <w:qFormat/>
    <w:pPr>
      <w:numPr>
        <w:ilvl w:val="0"/>
        <w:numId w:val="8"/>
      </w:numPr>
      <w:ind w:left="644" w:right="0" w:hanging="0"/>
    </w:pPr>
    <w:rPr/>
  </w:style>
  <w:style w:type="paragraph" w:styleId="130">
    <w:name w:val="Рег. Списки два уровня: 1)  и а) б) в)"/>
    <w:basedOn w:val="1212"/>
    <w:qFormat/>
    <w:pPr>
      <w:spacing w:before="0" w:after="120"/>
      <w:ind w:left="1440" w:right="0" w:hanging="36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Style84">
    <w:name w:val="Рег. Списки одного уровня: а) б) в)"/>
    <w:basedOn w:val="130"/>
    <w:qFormat/>
    <w:pPr>
      <w:numPr>
        <w:ilvl w:val="0"/>
        <w:numId w:val="6"/>
      </w:numPr>
    </w:pPr>
    <w:rPr/>
  </w:style>
  <w:style w:type="paragraph" w:styleId="Style85">
    <w:name w:val="Рег. Списки без буллетов широкие"/>
    <w:basedOn w:val="Normal"/>
    <w:qFormat/>
    <w:pPr>
      <w:suppressAutoHyphens w:val="true"/>
      <w:autoSpaceDE w:val="false"/>
      <w:spacing w:lineRule="auto" w:line="276"/>
      <w:ind w:left="0" w:right="0" w:firstLine="540"/>
      <w:jc w:val="both"/>
    </w:pPr>
    <w:rPr>
      <w:sz w:val="28"/>
      <w:szCs w:val="28"/>
    </w:rPr>
  </w:style>
  <w:style w:type="paragraph" w:styleId="226">
    <w:name w:val="Рег. Заголовок 2-го уровня сценариев в приложении"/>
    <w:basedOn w:val="2"/>
    <w:qFormat/>
    <w:pPr>
      <w:numPr>
        <w:ilvl w:val="0"/>
        <w:numId w:val="0"/>
      </w:numPr>
      <w:spacing w:lineRule="auto" w:line="276" w:before="360" w:after="240"/>
      <w:ind w:left="0" w:right="0" w:hanging="0"/>
      <w:jc w:val="center"/>
    </w:pPr>
    <w:rPr>
      <w:b/>
      <w:bCs/>
      <w:iCs/>
      <w:szCs w:val="28"/>
    </w:rPr>
  </w:style>
  <w:style w:type="paragraph" w:styleId="131">
    <w:name w:val="Рег. Основной нумерованный 1. текст"/>
    <w:basedOn w:val="ConsPlusNormal1"/>
    <w:qFormat/>
    <w:pPr>
      <w:numPr>
        <w:ilvl w:val="0"/>
        <w:numId w:val="7"/>
      </w:numPr>
      <w:tabs>
        <w:tab w:val="clear" w:pos="709"/>
        <w:tab w:val="left" w:pos="720" w:leader="none"/>
      </w:tabs>
      <w:spacing w:lineRule="auto" w:line="276"/>
      <w:ind w:left="720" w:right="0" w:hanging="0"/>
      <w:jc w:val="both"/>
    </w:pPr>
    <w:rPr>
      <w:rFonts w:ascii="Times New Roman" w:hAnsi="Times New Roman" w:cs="Times New Roman"/>
      <w:sz w:val="28"/>
      <w:szCs w:val="28"/>
    </w:rPr>
  </w:style>
  <w:style w:type="paragraph" w:styleId="Style86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both"/>
    </w:pPr>
    <w:rPr>
      <w:rFonts w:ascii="Times New Roman" w:hAnsi="Times New Roman" w:eastAsia="Calibri" w:cs="Times New Roman" w:eastAsiaTheme="minorHAnsi"/>
      <w:color w:val="auto"/>
      <w:kern w:val="2"/>
      <w:sz w:val="24"/>
      <w:szCs w:val="22"/>
      <w:lang w:val="ru-RU" w:eastAsia="zh-CN" w:bidi="ar-SA"/>
    </w:rPr>
  </w:style>
  <w:style w:type="paragraph" w:styleId="Style87">
    <w:name w:val="Рецензия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Style88">
    <w:name w:val="РегламентГПЗУ"/>
    <w:basedOn w:val="Style79"/>
    <w:qFormat/>
    <w:pPr>
      <w:numPr>
        <w:ilvl w:val="0"/>
        <w:numId w:val="12"/>
      </w:numPr>
      <w:tabs>
        <w:tab w:val="clear" w:pos="709"/>
        <w:tab w:val="left" w:pos="992" w:leader="none"/>
        <w:tab w:val="left" w:pos="1134" w:leader="none"/>
        <w:tab w:val="left" w:pos="9781" w:leader="none"/>
      </w:tabs>
      <w:spacing w:lineRule="auto" w:line="240" w:before="0" w:after="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227">
    <w:name w:val="РегламентГПЗУ2"/>
    <w:basedOn w:val="Style88"/>
    <w:qFormat/>
    <w:pPr>
      <w:numPr>
        <w:ilvl w:val="0"/>
        <w:numId w:val="12"/>
      </w:numPr>
      <w:tabs>
        <w:tab w:val="clear" w:pos="992"/>
        <w:tab w:val="left" w:pos="1134" w:leader="none"/>
        <w:tab w:val="left" w:pos="1418" w:leader="none"/>
        <w:tab w:val="left" w:pos="9781" w:leader="none"/>
      </w:tabs>
    </w:pPr>
    <w:rPr/>
  </w:style>
  <w:style w:type="paragraph" w:styleId="1210">
    <w:name w:val="Абзац списка12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313">
    <w:name w:val="Знак Знак Знак Знак Знак Знак Знак Знак Знак Знак3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314">
    <w:name w:val="Знак3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315">
    <w:name w:val="Знак Знак Знак Знак Знак Знак Знак3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1116">
    <w:name w:val="Абзац списка11"/>
    <w:basedOn w:val="Normal"/>
    <w:qFormat/>
    <w:pPr>
      <w:spacing w:lineRule="auto" w:line="276"/>
      <w:ind w:left="720" w:right="0" w:hanging="0"/>
      <w:jc w:val="center"/>
    </w:pPr>
    <w:rPr>
      <w:rFonts w:ascii="Calibri" w:hAnsi="Calibri" w:eastAsia="Calibri" w:cs="Calibri"/>
      <w:sz w:val="22"/>
      <w:szCs w:val="22"/>
    </w:rPr>
  </w:style>
  <w:style w:type="paragraph" w:styleId="228">
    <w:name w:val="Знак Знак Знак Знак Знак Знак Знак Знак Знак Знак2"/>
    <w:basedOn w:val="Normal"/>
    <w:qFormat/>
    <w:pPr>
      <w:spacing w:lineRule="exact" w:line="240" w:before="0" w:after="160"/>
      <w:jc w:val="center"/>
    </w:pPr>
    <w:rPr>
      <w:rFonts w:ascii="Verdana" w:hAnsi="Verdana" w:eastAsia="Calibri" w:cs="Verdana"/>
      <w:szCs w:val="24"/>
      <w:lang w:val="en-US"/>
    </w:rPr>
  </w:style>
  <w:style w:type="paragraph" w:styleId="229">
    <w:name w:val="Знак2"/>
    <w:basedOn w:val="Normal"/>
    <w:qFormat/>
    <w:pPr>
      <w:spacing w:lineRule="exact" w:line="240" w:before="0" w:after="160"/>
      <w:jc w:val="both"/>
    </w:pPr>
    <w:rPr>
      <w:lang w:val="en-US"/>
    </w:rPr>
  </w:style>
  <w:style w:type="paragraph" w:styleId="230">
    <w:name w:val="Знак Знак Знак Знак Знак Знак Знак2"/>
    <w:basedOn w:val="Normal"/>
    <w:qFormat/>
    <w:pPr>
      <w:spacing w:before="100" w:after="100"/>
    </w:pPr>
    <w:rPr>
      <w:rFonts w:ascii="Tahoma" w:hAnsi="Tahoma" w:cs="Tahoma"/>
      <w:sz w:val="20"/>
      <w:lang w:val="en-US"/>
    </w:rPr>
  </w:style>
  <w:style w:type="paragraph" w:styleId="CharCharChar">
    <w:name w:val="Char Знак Знак Char Char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/>
    </w:rPr>
  </w:style>
  <w:style w:type="paragraph" w:styleId="132">
    <w:name w:val="Основной текст1"/>
    <w:basedOn w:val="Normal"/>
    <w:qFormat/>
    <w:pPr>
      <w:widowControl w:val="false"/>
      <w:shd w:fill="FFFFFF" w:val="clear"/>
      <w:spacing w:lineRule="exact" w:line="298" w:before="0" w:after="0"/>
    </w:pPr>
    <w:rPr>
      <w:rFonts w:ascii="Times New Roman" w:hAnsi="Times New Roman" w:eastAsia="Times New Roman" w:cs="Times New Roman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22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Neat_Office/6.2.8.2$Windows_x86 LibreOffice_project/</Application>
  <Pages>12</Pages>
  <Words>2575</Words>
  <Characters>18271</Characters>
  <CharactersWithSpaces>21017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2022-01-14T07:51:00Z</dcterms:created>
  <dc:creator>XE</dc:creator>
  <dc:description/>
  <dc:language>ru-RU</dc:language>
  <cp:lastModifiedBy/>
  <cp:lastPrinted>2021-09-27T09:31:00Z</cp:lastPrinted>
  <dcterms:modified xsi:type="dcterms:W3CDTF">2022-01-24T14:04:28Z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