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C0" w:rsidRDefault="007815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15C0" w:rsidRDefault="007815C0">
      <w:pPr>
        <w:pStyle w:val="ConsPlusNormal"/>
        <w:jc w:val="both"/>
        <w:outlineLvl w:val="0"/>
      </w:pPr>
    </w:p>
    <w:p w:rsidR="007815C0" w:rsidRDefault="007815C0">
      <w:pPr>
        <w:pStyle w:val="ConsPlusNormal"/>
        <w:outlineLvl w:val="0"/>
      </w:pPr>
      <w:r>
        <w:t>Зарегистрировано в Минюсте России 23 июня 2017 г. N 47160</w:t>
      </w:r>
    </w:p>
    <w:p w:rsidR="007815C0" w:rsidRDefault="00781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Title"/>
        <w:jc w:val="center"/>
      </w:pPr>
      <w:r>
        <w:t>МИНИСТЕРСТВО ТРАНСПОРТА РОССИЙСКОЙ ФЕДЕРАЦИИ</w:t>
      </w:r>
    </w:p>
    <w:p w:rsidR="007815C0" w:rsidRDefault="007815C0">
      <w:pPr>
        <w:pStyle w:val="ConsPlusTitle"/>
        <w:jc w:val="center"/>
      </w:pPr>
    </w:p>
    <w:p w:rsidR="007815C0" w:rsidRDefault="007815C0">
      <w:pPr>
        <w:pStyle w:val="ConsPlusTitle"/>
        <w:jc w:val="center"/>
      </w:pPr>
      <w:r>
        <w:t>ПРИКАЗ</w:t>
      </w:r>
    </w:p>
    <w:p w:rsidR="007815C0" w:rsidRDefault="007815C0">
      <w:pPr>
        <w:pStyle w:val="ConsPlusTitle"/>
        <w:jc w:val="center"/>
      </w:pPr>
      <w:r>
        <w:t>от 6 апреля 2017 г. N 141</w:t>
      </w:r>
    </w:p>
    <w:p w:rsidR="007815C0" w:rsidRDefault="007815C0">
      <w:pPr>
        <w:pStyle w:val="ConsPlusTitle"/>
        <w:jc w:val="center"/>
      </w:pPr>
    </w:p>
    <w:p w:rsidR="007815C0" w:rsidRDefault="007815C0">
      <w:pPr>
        <w:pStyle w:val="ConsPlusTitle"/>
        <w:jc w:val="center"/>
      </w:pPr>
      <w:r>
        <w:t>ОБ УТВЕРЖДЕНИИ ПОРЯДКА</w:t>
      </w:r>
    </w:p>
    <w:p w:rsidR="007815C0" w:rsidRDefault="007815C0">
      <w:pPr>
        <w:pStyle w:val="ConsPlusTitle"/>
        <w:jc w:val="center"/>
      </w:pPr>
      <w:r>
        <w:t>ОРГАНИЗАЦИИ И ПРОВЕДЕНИЯ ПРЕДРЕЙСОВОГО КОНТРОЛЯ</w:t>
      </w:r>
    </w:p>
    <w:p w:rsidR="007815C0" w:rsidRDefault="007815C0">
      <w:pPr>
        <w:pStyle w:val="ConsPlusTitle"/>
        <w:jc w:val="center"/>
      </w:pPr>
      <w:r>
        <w:t>ТЕХНИЧЕСКОГО СОСТОЯНИЯ ТРАНСПОРТНЫХ СРЕДСТВ</w:t>
      </w: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20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 (ч. 1), ст. 5498; 2007, N 46, ст. 5553, N 49, ст. 6070; 2009, N 1, ст. 21, N 48, ст. 5717; 2010, N 30, ст. 4000, N 31, ст. 4196; 2011, N 17, ст. 2310, N 27, ст. 3881, N 29, ст. 4283, N 30 (ч. 1), ст. 4590, ст. 4596; 2012, N 25, ст. 3268, N 31, ст. 4320; 2013, N 17, ст. 2032, N 19, ст. 2319, N 27, ст. 3477, N 30 (ч. 1), ст. 4029, N 48, ст. 6165, N 52 (ч. 1), ст. 7002; 2014, N 42, ст. 5615; 2015, N 24, ст. 3370, N 29 (ч. 1), ст. 4359, N 48 (ч. 1), ст. 6706, ст. 6723; 2016, N 15, ст. 2066, N 18, ст. 2502, N 27 (ч. 1), ст. 4192, ст. 4229) приказываю: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организации и проведения предрейсового контроля технического состояния транспортных средств.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180 дней со дня его официального опубликования.</w:t>
      </w: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Normal"/>
        <w:jc w:val="right"/>
      </w:pPr>
      <w:r>
        <w:t>Министр</w:t>
      </w:r>
    </w:p>
    <w:p w:rsidR="007815C0" w:rsidRDefault="007815C0">
      <w:pPr>
        <w:pStyle w:val="ConsPlusNormal"/>
        <w:jc w:val="right"/>
      </w:pPr>
      <w:r>
        <w:t>М.Ю.СОКОЛОВ</w:t>
      </w: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Normal"/>
        <w:jc w:val="right"/>
        <w:outlineLvl w:val="0"/>
      </w:pPr>
      <w:r>
        <w:t>Утвержден</w:t>
      </w:r>
    </w:p>
    <w:p w:rsidR="007815C0" w:rsidRDefault="007815C0">
      <w:pPr>
        <w:pStyle w:val="ConsPlusNormal"/>
        <w:jc w:val="right"/>
      </w:pPr>
      <w:r>
        <w:t>приказом Минтранса России</w:t>
      </w:r>
    </w:p>
    <w:p w:rsidR="007815C0" w:rsidRDefault="007815C0">
      <w:pPr>
        <w:pStyle w:val="ConsPlusNormal"/>
        <w:jc w:val="right"/>
      </w:pPr>
      <w:r>
        <w:t>от 6 апреля 2017 г. N 141</w:t>
      </w: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Title"/>
        <w:jc w:val="center"/>
      </w:pPr>
      <w:bookmarkStart w:id="0" w:name="P28"/>
      <w:bookmarkEnd w:id="0"/>
      <w:r>
        <w:t>ПОРЯДОК</w:t>
      </w:r>
    </w:p>
    <w:p w:rsidR="007815C0" w:rsidRDefault="007815C0">
      <w:pPr>
        <w:pStyle w:val="ConsPlusTitle"/>
        <w:jc w:val="center"/>
      </w:pPr>
      <w:r>
        <w:t>ОРГАНИЗАЦИИ И ПРОВЕДЕНИЯ ПРЕДРЕЙСОВОГО КОНТРОЛЯ</w:t>
      </w:r>
    </w:p>
    <w:p w:rsidR="007815C0" w:rsidRDefault="007815C0">
      <w:pPr>
        <w:pStyle w:val="ConsPlusTitle"/>
        <w:jc w:val="center"/>
      </w:pPr>
      <w:r>
        <w:t>ТЕХНИЧЕСКОГО СОСТОЯНИЯ ТРАНСПОРТНЫХ СРЕДСТВ</w:t>
      </w: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Normal"/>
        <w:ind w:firstLine="540"/>
        <w:jc w:val="both"/>
      </w:pPr>
      <w:r>
        <w:t>1. Порядок организации и проведения предрейсового контроля технического состояния транспортных средств (далее - Порядок) устанавливает требования к организации и проведению предрейсового контроля технического состояния транспортных средств (далее - предрейсовый контроль) с целью исключения выпуска на линию технически неисправных транспортных средств.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2. Настоящий Порядок обязателен для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(далее - субъекты транспортной деятельности).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lastRenderedPageBreak/>
        <w:t>3. Предрейсовый контроль проводится до выезда транспортного средства с места его постоянной стоянки.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4. Предрейсовый контроль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(далее - контролер), на которого субъектом транспортной деятельности возложены обязанности по проведению такого контроля.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 xml:space="preserve">Контролер должен соответствовать Профессиональным и квалификационным </w:t>
      </w:r>
      <w:hyperlink r:id="rId7" w:history="1">
        <w:r>
          <w:rPr>
            <w:color w:val="0000FF"/>
          </w:rPr>
          <w:t>требованиям</w:t>
        </w:r>
      </w:hyperlink>
      <w:r>
        <w:t xml:space="preserve">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утвержденным приказом Министерства транспорта Российской Федерации от 28 сентября 2015 г. N 287 &lt;1&gt;.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Министерством юстиции Российской Федерации 9 декабря 2015 г., регистрационный N 40032).</w:t>
      </w: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Normal"/>
        <w:ind w:firstLine="540"/>
        <w:jc w:val="both"/>
      </w:pPr>
      <w:r>
        <w:t xml:space="preserve">5. При проведении предрейсового контроля проверяется работоспособность и состояние основных узлов и систем транспортного средства, влияющих на безопасность дорожного движения, на соответствие положениям технического </w:t>
      </w:r>
      <w:hyperlink r:id="rId9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колесных транспортных средств" &lt;2&gt; (далее - технический регламент),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Совета Министров - Правительства Российской Федерации от 23 октября 1993 г. N 1090 "О правилах дорожного движения" &lt;3&gt;.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9 декабря 2011 г. N 877 "О принятии технического регламента Таможенного союза "О безопасности колесных транспортных средств" (опубликовано 15 декабря 2011 г. на официальном сайте Евразийской экономической комиссии www.eurasiancommission.org в информационно-телекоммуникационной сети "Интернет") (с учетом внесенных изменений).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1993, N 47, ст. 4531; 1996, N 3, ст. 184; 1998, N 45, ст. 5521; 2000, N 18, ст. 1985; 2001, N 11, ст. 1029; 2002, N 9, ст. 931, N 27, ст. 2693; 2003, N 20, ст. 1899, N 40, ст. 3891; 2005, N 52 (ч. III), ст. 5733; 2006, N 11, ст. 1179; 2008, N 8, ст. 741; N 17, ст. 1882; 2009, N 2, ст. 233; N 5, ст. 610; 2010, N 9, ст. 976, N 20, ст. 2471; 2011, N 42, ст. 5922; 2012, N 1, ст. 154, N 15, ст. 1780, N 30, ст. 4289, N 47, ст. 6505; 2013, N 5, ст. 371, ст. 404, N 24, ст. 2999, N 29, ст. 3966, N 31, ст. 4218, N 41, ст. 5194, N 52 (ч. II), ст. 7173; 2014, N 14, ст. 1625, N 21, ст. 2707, N 32, ст. 4487, N 38, ст. 5062, N 44, ст. 6063, N 47, ст. 6557; 2015, N 1 (ч. II), ст. 223, N 15, ст. 2276, N 17 (ч. IV), ст. 2568, N 27, ст. 4083, N 46, ст. 6376; 2016, N 5, ст. 694, N 23, ст. 3325, N 31, ст. 5018, N 31, ст. 5029, N 38, ст. 5553.</w:t>
      </w: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Normal"/>
        <w:ind w:firstLine="540"/>
        <w:jc w:val="both"/>
      </w:pPr>
      <w:bookmarkStart w:id="1" w:name="P45"/>
      <w:bookmarkEnd w:id="1"/>
      <w:r>
        <w:t>6. При проведении предрейсового контроля должны быть проверены: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а) исправность: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тормозной системы (включая манометр пневматического или пневмогидравлического тормозных приводов, если их установка предусмотрена конструкцией транспортного средства);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рулевого управления;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lastRenderedPageBreak/>
        <w:t>стеклоомывателей;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колес и шин (кроме трамвая);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звукового сигнала;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тахографа (если обязательность его установки предусмотрена законодательством Российской Федерации);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аппаратуры спутниковой навигации и устройств вызова экстренных оперативных служб (если обязательность их установки предусмотрена законодательством Российской Федерации);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б) исправность предусмотренных конструкцией транспортного средства: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замков дверей кузова или кабины, бортов грузовой платформы, запоров горловин цистерн и пробок топливных баков (кроме транспортных средств городского наземного электрического транспорта);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устройств фиксации подушки и спинки водительского сиденья;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устройств обогрева и обдува стекол;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тягово-сцепного устройства, а также страховочных тросов (цепей);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держателя запасного колеса (кроме трамвая);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фиксаторов транспортного положения опор полуприцепов (при наличии);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в) наличие предусмотренных конструкцией транспортного средства: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индикации на щитке приборов, свидетельствующей о неисправности, влияющей на безопасность движения (проверяется при работающем двигателе);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стекол и обзорности с места водителя;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зеркал заднего вида и их креплений;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заднего защитного устройства, грязезащитных фартуков и брызговиков;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ремней безопасности (в установленных законодательством случаях) и (или) подголовников сидений и их работоспособность;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г) работоспособность в установленном режиме: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стеклоочистителей;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внешних световых приборов и световозвращателей;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д) герметичность систем, узлов и агрегатов транспортного средства, в том числе системы выпуска отработавших газов, а также дополнительно устанавливаемых на транспортное средство гидравлических устройств;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е) укомплектованность медицинской аптечкой, огнетушителем и противооткатными упорами (для грузовых транспортных средств и автобусов);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 xml:space="preserve">ж) отсутствие внесенных в конструкцию транспортного средства изменений в нарушение установленного порядка, предусмотренного </w:t>
      </w:r>
      <w:hyperlink r:id="rId12" w:history="1">
        <w:r>
          <w:rPr>
            <w:color w:val="0000FF"/>
          </w:rPr>
          <w:t>разделом 4</w:t>
        </w:r>
      </w:hyperlink>
      <w:r>
        <w:t xml:space="preserve"> главы V технического регламента, в части газобаллонного оборудования, кузовов транспортных средств, бортов грузовой платформы (для </w:t>
      </w:r>
      <w:r>
        <w:lastRenderedPageBreak/>
        <w:t>грузовых транспортных средств), дополнительных сидений;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з) дополнительно для транспортных средств городского наземного электрического транспорта: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состояние и крепление колесных пар и трамвайных тележек (для трамвая);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соответствие силы тока утечки предельно допустимым значениям;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исправность: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токоприемников;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тяговых двигателей, вспомогательных электрических машин, пускорегулирующей и защитной аппаратуры, вспомогательных цепей, аккумуляторной батареи;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контрольно-измерительных приборов электрического оборудования.</w:t>
      </w:r>
    </w:p>
    <w:p w:rsidR="007815C0" w:rsidRDefault="007815C0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7. При наличии конструктивных особенностей специальных и специализированных транспортных средств контролер должен проверить состояние и исправность других систем, механизмов, агрегатов, узлов и деталей, характерных для данных типов транспортных средств, влияющих на безопасность движения транспортных средств, на соответствие требованиям </w:t>
      </w:r>
      <w:hyperlink r:id="rId13" w:history="1">
        <w:r>
          <w:rPr>
            <w:color w:val="0000FF"/>
          </w:rPr>
          <w:t>приложений N 6</w:t>
        </w:r>
      </w:hyperlink>
      <w:r>
        <w:t xml:space="preserve"> и </w:t>
      </w:r>
      <w:hyperlink r:id="rId14" w:history="1">
        <w:r>
          <w:rPr>
            <w:color w:val="0000FF"/>
          </w:rPr>
          <w:t>N 8</w:t>
        </w:r>
      </w:hyperlink>
      <w:r>
        <w:t xml:space="preserve"> к техническому регламенту.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 xml:space="preserve">8. В случае, если при предрейсовом контроле не выявлены несоответствия требованиям, перечисленным в </w:t>
      </w:r>
      <w:hyperlink w:anchor="P4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0" w:history="1">
        <w:r>
          <w:rPr>
            <w:color w:val="0000FF"/>
          </w:rPr>
          <w:t>7</w:t>
        </w:r>
      </w:hyperlink>
      <w:r>
        <w:t xml:space="preserve"> настоящего Порядка, в соответствии с </w:t>
      </w:r>
      <w:hyperlink r:id="rId15" w:history="1">
        <w:r>
          <w:rPr>
            <w:color w:val="0000FF"/>
          </w:rPr>
          <w:t>пунктом 16.1</w:t>
        </w:r>
      </w:hyperlink>
      <w:r>
        <w:t xml:space="preserve"> порядка заполнения путевых листов, утвержденного приказом Министерства транспорта Российской Федерации от 18 сентября 2008 г. N 152 &lt;4&gt;, ставится отметка "прошел предрейсовый контроль технического состояния" и подпись с указанием фамилии и инициалов контролера, проводившего предрейсовый контроль, даты и времени его проведения.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сентября 2008 г. N 152 "Об утверждении обязательных реквизитов и порядка заполнения путевых листов" (зарегистрирован Министерством юстиции Российской Федерации 8 октября 2008 г., регистрационный N 12414) с изменениями, внесенными приказом Министерства транспорта Российской Федерации от 18 января 2017 г. N 17 (зарегистрирован Министерством юстиции Российской Федерации 13 февраля 2017 г., регистрационный N 45612).</w:t>
      </w: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Normal"/>
        <w:ind w:firstLine="540"/>
        <w:jc w:val="both"/>
      </w:pPr>
      <w:r>
        <w:t>9. В целях оценки работоспособности, исправности и состояния узлов, агрегатов, механизмов и систем транспортного средства, проверка которых была осуществлена без использования средств технического диагностирования, субъект транспортной деятельности вправе организовать диагностику технического состояния данных узлов, агрегатов, механизмов и систем с использованием необходимого оборудования, средств измерений и инструментов. Средства измерений, используемые для предрейсового контроля, должны быть метрологически поверены.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10. Выпуск транспортного средства на линию без отметки о прохождении предрейсового контроля и подписи контролера не допускается.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11. Субъект транспортной деятельности должен вести учет прохождения предрейсового контроля. Журнал регистрации результатов предрейсового контроля должен содержать следующие реквизиты: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1) наименование марки, модели транспортного средства;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lastRenderedPageBreak/>
        <w:t>2) государственный регистрационный знак транспортного средства;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3) фамилия, имя, отчество (при наличии) водителя транспортного средства;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4) фамилия, имя, отчество (при наличии) контролера, проводившего предрейсовый контроль;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5) дата, время проведения предрейсового контроля;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6) показания одометра (полные км пробега) при проведении предрейсового контроля;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7) отметка о прохождении предрейсового контроля;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8) подпись водителя транспортного средства;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9) подпись контролера, проводившего предрейсовый контроль.</w:t>
      </w:r>
    </w:p>
    <w:p w:rsidR="007815C0" w:rsidRDefault="007815C0">
      <w:pPr>
        <w:pStyle w:val="ConsPlusNormal"/>
        <w:spacing w:before="220"/>
        <w:ind w:firstLine="540"/>
        <w:jc w:val="both"/>
      </w:pPr>
      <w:r>
        <w:t>В журнале регистрации результатов предрейсового контроля допускается размещение дополнительных реквизитов, учитывающих особенности осуществления перевозок автомобильным транспортом или городским наземным электрическим транспортом.</w:t>
      </w: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Normal"/>
        <w:jc w:val="both"/>
      </w:pPr>
    </w:p>
    <w:p w:rsidR="007815C0" w:rsidRDefault="00781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C55" w:rsidRDefault="007815C0">
      <w:bookmarkStart w:id="3" w:name="_GoBack"/>
      <w:bookmarkEnd w:id="3"/>
    </w:p>
    <w:sectPr w:rsidR="00667C55" w:rsidSect="00A2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C0"/>
    <w:rsid w:val="00692638"/>
    <w:rsid w:val="007815C0"/>
    <w:rsid w:val="00E5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5B8B5A4D4F7C15BBC48DBEA96DCB29D0D3A0579E3874E64AEA76701BH4M2J" TargetMode="External"/><Relationship Id="rId13" Type="http://schemas.openxmlformats.org/officeDocument/2006/relationships/hyperlink" Target="consultantplus://offline/ref=AB5B8B5A4D4F7C15BBC48DBEA96DCB29D0D2AD5C993E74E64AEA76701B42806C9056CEB414BAC9E0H3M0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5B8B5A4D4F7C15BBC48DBEA96DCB29D0D3A0579E3874E64AEA76701B42806C9056CEB414BBC0E6H3M8J" TargetMode="External"/><Relationship Id="rId12" Type="http://schemas.openxmlformats.org/officeDocument/2006/relationships/hyperlink" Target="consultantplus://offline/ref=AB5B8B5A4D4F7C15BBC48DBEA96DCB29D0D2AD5C993E74E64AEA76701B42806C9056CEB414BBC4E1H3M0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5B8B5A4D4F7C15BBC48DBEA96DCB29D0D3A75C9E3C74E64AEA76701BH4M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5B8B5A4D4F7C15BBC48DBEA96DCB29D0D0A55D9C3574E64AEA76701B42806C9056CEB41DHBMCJ" TargetMode="External"/><Relationship Id="rId11" Type="http://schemas.openxmlformats.org/officeDocument/2006/relationships/hyperlink" Target="consultantplus://offline/ref=AB5B8B5A4D4F7C15BBC48DBEA96DCB29D0D2AD5C993E74E64AEA76701BH4M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5B8B5A4D4F7C15BBC48DBEA96DCB29D0D3A75C9E3C74E64AEA76701B42806C9056CEHBM7J" TargetMode="External"/><Relationship Id="rId10" Type="http://schemas.openxmlformats.org/officeDocument/2006/relationships/hyperlink" Target="consultantplus://offline/ref=AB5B8B5A4D4F7C15BBC48DBEA96DCB29D0D0A5559E3D74E64AEA76701BH4M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5B8B5A4D4F7C15BBC48DBEA96DCB29D0D2AD5C993E74E64AEA76701B42806C9056CEB414BBC0E4H3MDJ" TargetMode="External"/><Relationship Id="rId14" Type="http://schemas.openxmlformats.org/officeDocument/2006/relationships/hyperlink" Target="consultantplus://offline/ref=AB5B8B5A4D4F7C15BBC48DBEA96DCB29D0D2AD5C993E74E64AEA76701B42806C9056CEB414B8C0E6H3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2017-09-21T09:12:00Z</dcterms:created>
  <dcterms:modified xsi:type="dcterms:W3CDTF">2017-09-21T09:13:00Z</dcterms:modified>
</cp:coreProperties>
</file>